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75B361" w14:textId="77777777" w:rsidR="006A7445" w:rsidRDefault="006A7445">
      <w:pPr>
        <w:jc w:val="both"/>
      </w:pPr>
    </w:p>
    <w:p w14:paraId="666F6BB9" w14:textId="77777777" w:rsidR="006A7445" w:rsidRDefault="00000000">
      <w:pPr>
        <w:pStyle w:val="Naslov1"/>
        <w:spacing w:before="240" w:after="240"/>
        <w:jc w:val="center"/>
        <w:rPr>
          <w:sz w:val="22"/>
          <w:szCs w:val="22"/>
        </w:rPr>
      </w:pPr>
      <w:bookmarkStart w:id="0" w:name="_djk1hurr7wzw" w:colFirst="0" w:colLast="0"/>
      <w:bookmarkEnd w:id="0"/>
      <w:r>
        <w:rPr>
          <w:noProof/>
          <w:sz w:val="22"/>
          <w:szCs w:val="22"/>
        </w:rPr>
        <w:drawing>
          <wp:inline distT="114300" distB="114300" distL="114300" distR="114300" wp14:anchorId="05353F6D" wp14:editId="66CEF1EA">
            <wp:extent cx="1958812" cy="1573472"/>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1958812" cy="1573472"/>
                    </a:xfrm>
                    <a:prstGeom prst="rect">
                      <a:avLst/>
                    </a:prstGeom>
                    <a:ln/>
                  </pic:spPr>
                </pic:pic>
              </a:graphicData>
            </a:graphic>
          </wp:inline>
        </w:drawing>
      </w:r>
    </w:p>
    <w:p w14:paraId="5B849017" w14:textId="77777777" w:rsidR="006A7445" w:rsidRDefault="006A7445">
      <w:pPr>
        <w:spacing w:before="240" w:after="240"/>
        <w:jc w:val="center"/>
        <w:rPr>
          <w:b/>
          <w:bCs/>
        </w:rPr>
      </w:pPr>
    </w:p>
    <w:p w14:paraId="0798B42D" w14:textId="77777777" w:rsidR="006A7445" w:rsidRDefault="006A7445">
      <w:pPr>
        <w:spacing w:before="240" w:after="240"/>
        <w:jc w:val="center"/>
        <w:rPr>
          <w:b/>
          <w:bCs/>
        </w:rPr>
      </w:pPr>
    </w:p>
    <w:p w14:paraId="0844D275" w14:textId="77777777" w:rsidR="006A7445" w:rsidRDefault="006A7445">
      <w:pPr>
        <w:spacing w:before="240" w:after="240"/>
        <w:jc w:val="center"/>
        <w:rPr>
          <w:b/>
          <w:bCs/>
        </w:rPr>
      </w:pPr>
    </w:p>
    <w:p w14:paraId="534A7725" w14:textId="77777777" w:rsidR="006A7445" w:rsidRDefault="006A7445">
      <w:pPr>
        <w:spacing w:before="240" w:after="240"/>
        <w:jc w:val="center"/>
        <w:rPr>
          <w:b/>
          <w:bCs/>
        </w:rPr>
      </w:pPr>
    </w:p>
    <w:p w14:paraId="28C03A6B" w14:textId="77777777" w:rsidR="009867E3" w:rsidRDefault="009867E3">
      <w:pPr>
        <w:spacing w:before="240" w:after="240"/>
        <w:jc w:val="center"/>
        <w:rPr>
          <w:b/>
          <w:bCs/>
        </w:rPr>
      </w:pPr>
    </w:p>
    <w:p w14:paraId="6AC99976" w14:textId="77777777" w:rsidR="006A7445" w:rsidRDefault="006A7445">
      <w:pPr>
        <w:spacing w:before="240" w:after="240"/>
        <w:jc w:val="center"/>
        <w:rPr>
          <w:b/>
          <w:bCs/>
        </w:rPr>
      </w:pPr>
    </w:p>
    <w:p w14:paraId="53112799" w14:textId="77777777" w:rsidR="006A7445" w:rsidRPr="009867E3" w:rsidRDefault="00000000">
      <w:pPr>
        <w:jc w:val="center"/>
        <w:rPr>
          <w:b/>
          <w:bCs/>
          <w:sz w:val="30"/>
          <w:szCs w:val="30"/>
        </w:rPr>
      </w:pPr>
      <w:r w:rsidRPr="009867E3">
        <w:rPr>
          <w:b/>
          <w:bCs/>
          <w:sz w:val="30"/>
          <w:szCs w:val="30"/>
          <w:highlight w:val="white"/>
        </w:rPr>
        <w:t>Skupnosti prakse v organizacijskem okolju</w:t>
      </w:r>
    </w:p>
    <w:p w14:paraId="5428E96E" w14:textId="77777777" w:rsidR="006A7445" w:rsidRDefault="00000000">
      <w:pPr>
        <w:jc w:val="center"/>
      </w:pPr>
      <w:r>
        <w:t>Seminarska naloga pri predmetu Karierni razvoj zaposlenih</w:t>
      </w:r>
    </w:p>
    <w:p w14:paraId="408FFA6D" w14:textId="77777777" w:rsidR="006A7445" w:rsidRDefault="006A7445">
      <w:pPr>
        <w:spacing w:before="480" w:after="240"/>
        <w:jc w:val="center"/>
      </w:pPr>
    </w:p>
    <w:p w14:paraId="6E86FCCA" w14:textId="77777777" w:rsidR="006A7445" w:rsidRDefault="006A7445">
      <w:pPr>
        <w:spacing w:before="480" w:after="240"/>
        <w:jc w:val="center"/>
      </w:pPr>
    </w:p>
    <w:p w14:paraId="4B9CBF61" w14:textId="77777777" w:rsidR="006A7445" w:rsidRDefault="006A7445">
      <w:pPr>
        <w:spacing w:before="480" w:after="240"/>
        <w:jc w:val="center"/>
      </w:pPr>
    </w:p>
    <w:p w14:paraId="5766B897" w14:textId="77777777" w:rsidR="006A7445" w:rsidRDefault="006A7445">
      <w:pPr>
        <w:spacing w:before="480" w:after="240"/>
        <w:jc w:val="center"/>
      </w:pPr>
    </w:p>
    <w:p w14:paraId="69824EDF" w14:textId="77777777" w:rsidR="009867E3" w:rsidRDefault="009867E3">
      <w:pPr>
        <w:spacing w:before="480" w:after="240"/>
        <w:jc w:val="center"/>
      </w:pPr>
    </w:p>
    <w:p w14:paraId="1AC45638" w14:textId="77777777" w:rsidR="006A7445" w:rsidRDefault="00000000">
      <w:pPr>
        <w:spacing w:before="240" w:after="240"/>
        <w:jc w:val="center"/>
      </w:pPr>
      <w:r>
        <w:t>Avtorica: Tina Kuhar</w:t>
      </w:r>
    </w:p>
    <w:p w14:paraId="792C6241" w14:textId="77777777" w:rsidR="006A7445" w:rsidRDefault="00000000">
      <w:pPr>
        <w:spacing w:before="240" w:after="240"/>
        <w:jc w:val="center"/>
      </w:pPr>
      <w:r>
        <w:t>Mentorica: prof. dr. Eva Boštjančič</w:t>
      </w:r>
    </w:p>
    <w:p w14:paraId="5856A29B" w14:textId="4718AB09" w:rsidR="006A7445" w:rsidRDefault="00000000" w:rsidP="009867E3">
      <w:pPr>
        <w:spacing w:before="240" w:after="240"/>
        <w:jc w:val="center"/>
        <w:rPr>
          <w:b/>
          <w:bCs/>
        </w:rPr>
      </w:pPr>
      <w:r>
        <w:t>Ljubljana, november 2025</w:t>
      </w:r>
    </w:p>
    <w:p w14:paraId="0EA8FA5D" w14:textId="77777777" w:rsidR="006A7445" w:rsidRDefault="00000000">
      <w:pPr>
        <w:numPr>
          <w:ilvl w:val="0"/>
          <w:numId w:val="1"/>
        </w:numPr>
        <w:jc w:val="both"/>
        <w:rPr>
          <w:b/>
          <w:bCs/>
        </w:rPr>
      </w:pPr>
      <w:r>
        <w:rPr>
          <w:b/>
          <w:bCs/>
        </w:rPr>
        <w:lastRenderedPageBreak/>
        <w:t>UVODNA PREDSTAVITEV METODE</w:t>
      </w:r>
    </w:p>
    <w:p w14:paraId="03998467" w14:textId="77777777" w:rsidR="006A7445" w:rsidRDefault="006A7445">
      <w:pPr>
        <w:jc w:val="both"/>
      </w:pPr>
    </w:p>
    <w:p w14:paraId="337902E4" w14:textId="77777777" w:rsidR="006A7445" w:rsidRDefault="00000000">
      <w:pPr>
        <w:jc w:val="both"/>
      </w:pPr>
      <w:r>
        <w:t>Skupnosti prakse so skupine posameznikov, ki jih povezuje skupno zanimanje za kompleksne probleme iz resničnega življenja ali za pomembne strokovne teme. Njihove člane druži želja po medsebojnem učenju, izmenjavi izkušenj in skupnem iskanju novih rešitev, ki temeljijo na praktičnih izkušnjah. Takšne skupnosti predstavljajo dinamičen sistem odnosov med ljudmi, aktivnostmi in okoljem, ki se skozi čas sooblikuje in razvija v okviru skupnih ciljev, vrednot in skupne prakse (</w:t>
      </w:r>
      <w:proofErr w:type="spellStart"/>
      <w:r>
        <w:t>Pyrko</w:t>
      </w:r>
      <w:proofErr w:type="spellEnd"/>
      <w:r>
        <w:t xml:space="preserve"> idr., 2017, </w:t>
      </w:r>
      <w:proofErr w:type="spellStart"/>
      <w:r>
        <w:t>Manuti</w:t>
      </w:r>
      <w:proofErr w:type="spellEnd"/>
      <w:r>
        <w:t xml:space="preserve"> idr., 2017). Metoda je v neformalni obliki prisotna že odkar ljudje obstajamo v obliki družbene skupnosti in si v skupini delimo svoje znanje, lahko pa njena formalizacija v organizaciji doprinese tako k razvoju organizacije, kot tudi razvoj posameznikov, razvija njihov občutek pripadnosti organizaciji, prek nje pa lahko zaposleni gradijo tudi osebno in poklicno identiteto. </w:t>
      </w:r>
      <w:r>
        <w:rPr>
          <w:highlight w:val="white"/>
        </w:rPr>
        <w:t xml:space="preserve">Učenje v skupnostih prakse je lahko njihov osnovni namen ali pa spontani rezultat medsebojnih interakcij članov. Predstavljajo vsestranski in dinamičen vir znanja v organizaciji, saj spodbujajo aktivno sodelovanje, izkustveno učenje in </w:t>
      </w:r>
      <w:proofErr w:type="spellStart"/>
      <w:r>
        <w:rPr>
          <w:highlight w:val="white"/>
        </w:rPr>
        <w:t>medvrstniško</w:t>
      </w:r>
      <w:proofErr w:type="spellEnd"/>
      <w:r>
        <w:rPr>
          <w:highlight w:val="white"/>
        </w:rPr>
        <w:t xml:space="preserve"> vodenje. Ključno vodilo je, da nihče v skupnosti ni izključno odgovoren za učenje drugih – učenje je skupen, interaktiven proces, ki se razvija skozi sodelovanje in refleksijo (</w:t>
      </w:r>
      <w:proofErr w:type="spellStart"/>
      <w:r>
        <w:rPr>
          <w:highlight w:val="white"/>
        </w:rPr>
        <w:t>Hunter</w:t>
      </w:r>
      <w:proofErr w:type="spellEnd"/>
      <w:r>
        <w:rPr>
          <w:highlight w:val="white"/>
        </w:rPr>
        <w:t xml:space="preserve"> idr., 2014).</w:t>
      </w:r>
      <w:r>
        <w:t>V kontekstu razvoja zaposlenih ima pristop skupnosti prakse lahko dva pomembna poudarka. Na eni strani predstavljajo produktiven okvir prenosa znanja, veščin, refleksij, izkušenj in zgodb znotraj organizacije. Po drugi strani pa predstavljajo varno okolje, v katerem lahko posameznik razvija svojo osebno in poklicno identiteto. Odnosi v skupnosti prakse so namreč  osrednjega pomena za učenje in prenos znanja, saj se avtoriteta oblikuje skozi strokovno interakcijo, ne hierarhijo. Primarni cilj skupnosti prakse je učenje prek družbene participacije, kjer posameznik z aktivnim sodelovanjem prispeva k razvoju skupnosti ter hkrati gradi svojo strokovno identiteto (</w:t>
      </w:r>
      <w:proofErr w:type="spellStart"/>
      <w:r>
        <w:t>Wenger</w:t>
      </w:r>
      <w:proofErr w:type="spellEnd"/>
      <w:r>
        <w:t xml:space="preserve">, 2011). Pomemben element skupnosti prakse je proces </w:t>
      </w:r>
      <w:r>
        <w:rPr>
          <w:i/>
          <w:iCs/>
        </w:rPr>
        <w:t>skupnega razmišljanja</w:t>
      </w:r>
      <w:r>
        <w:t xml:space="preserve"> (ang. </w:t>
      </w:r>
      <w:proofErr w:type="spellStart"/>
      <w:r>
        <w:rPr>
          <w:i/>
          <w:iCs/>
        </w:rPr>
        <w:t>thinking</w:t>
      </w:r>
      <w:proofErr w:type="spellEnd"/>
      <w:r>
        <w:rPr>
          <w:i/>
          <w:iCs/>
        </w:rPr>
        <w:t xml:space="preserve"> </w:t>
      </w:r>
      <w:proofErr w:type="spellStart"/>
      <w:r>
        <w:rPr>
          <w:i/>
          <w:iCs/>
        </w:rPr>
        <w:t>together</w:t>
      </w:r>
      <w:proofErr w:type="spellEnd"/>
      <w:r>
        <w:t xml:space="preserve">), v katerem člani skupaj raziskujejo in razumevajo skupne probleme ter pri tem delijo svoje izkušnje, perspektive in poglede na deljene težave. S tem se prenaša tudi </w:t>
      </w:r>
      <w:proofErr w:type="spellStart"/>
      <w:r>
        <w:rPr>
          <w:i/>
          <w:iCs/>
        </w:rPr>
        <w:t>tacitno</w:t>
      </w:r>
      <w:proofErr w:type="spellEnd"/>
      <w:r>
        <w:rPr>
          <w:i/>
          <w:iCs/>
        </w:rPr>
        <w:t xml:space="preserve"> znanje</w:t>
      </w:r>
      <w:r>
        <w:t xml:space="preserve"> – tisti del strokovnega vedenja, ki se razvija skozi izkušnjo, sodelovanje in refleksijo (</w:t>
      </w:r>
      <w:proofErr w:type="spellStart"/>
      <w:r>
        <w:t>Pyrko</w:t>
      </w:r>
      <w:proofErr w:type="spellEnd"/>
      <w:r>
        <w:t xml:space="preserve"> idr., 2017). Skupnost prakse definirajo tri najpomembnejše značilnosti, in sicer </w:t>
      </w:r>
      <w:r>
        <w:rPr>
          <w:b/>
          <w:bCs/>
        </w:rPr>
        <w:t>deljena domena, sestavljanje skupnosti</w:t>
      </w:r>
      <w:r>
        <w:t xml:space="preserve"> in</w:t>
      </w:r>
      <w:r>
        <w:rPr>
          <w:b/>
          <w:bCs/>
        </w:rPr>
        <w:t xml:space="preserve"> razvijanje prakse</w:t>
      </w:r>
      <w:r>
        <w:t>. Deljena domena se nanaša na skupno področje, s katerim se vsi člani ukvarjajo (to na primer loči strokovne skupnosti prakse od skupine prijateljev, skupnosti soseske ipd.). Pri ustvarjanju skupnosti je pomembno to, da si člani skupnosti delijo interese in znotraj njih informacije, diskutirajo, si pomagajo pri reševanju problemov, ustvarjajo medsebojne odnose, ki jim omogočajo, da se učijo eden od drugega. Tretji element (razvijanje prakse) pa ne pomeni zgolj diskutiranja ali deljena interesov, ampak ustvarjanje skupnega repertoarja virov, zgodb, orodij in načina reševanja ponavljajočih se problemov (</w:t>
      </w:r>
      <w:proofErr w:type="spellStart"/>
      <w:r>
        <w:t>Wenger</w:t>
      </w:r>
      <w:proofErr w:type="spellEnd"/>
      <w:r>
        <w:t xml:space="preserve">, 2011). </w:t>
      </w:r>
    </w:p>
    <w:p w14:paraId="4470A365" w14:textId="77777777" w:rsidR="006A7445" w:rsidRDefault="006A7445">
      <w:pPr>
        <w:jc w:val="both"/>
      </w:pPr>
    </w:p>
    <w:p w14:paraId="303926DE" w14:textId="77777777" w:rsidR="006A7445" w:rsidRDefault="00000000">
      <w:pPr>
        <w:jc w:val="both"/>
      </w:pPr>
      <w:r>
        <w:rPr>
          <w:highlight w:val="white"/>
        </w:rPr>
        <w:t xml:space="preserve">Glavna razlika med skupnostmi prakse ter formalnimi skupinami ali timi je njihova spontana in </w:t>
      </w:r>
      <w:proofErr w:type="spellStart"/>
      <w:r>
        <w:rPr>
          <w:highlight w:val="white"/>
        </w:rPr>
        <w:t>samousmerjena</w:t>
      </w:r>
      <w:proofErr w:type="spellEnd"/>
      <w:r>
        <w:rPr>
          <w:highlight w:val="white"/>
        </w:rPr>
        <w:t xml:space="preserve"> narava. Medtem ko so timi formalno oblikovane skupine z jasno določenimi vlogami, hierarhijo in razmerji moči, se odnosi znotraj skupnosti prakse vzpostavljajo okoli same prakse – torej okoli znanja v akciji – in ne na podlagi formalnih pravil ali ukazov. Pretok znanja v teh skupnostih poteka prosto, ustvarjalno in z inovativnimi pristopi k reševanju problemov (</w:t>
      </w:r>
      <w:proofErr w:type="spellStart"/>
      <w:r>
        <w:rPr>
          <w:highlight w:val="white"/>
        </w:rPr>
        <w:t>Wenger</w:t>
      </w:r>
      <w:proofErr w:type="spellEnd"/>
      <w:r>
        <w:rPr>
          <w:highlight w:val="white"/>
        </w:rPr>
        <w:t xml:space="preserve"> in </w:t>
      </w:r>
      <w:proofErr w:type="spellStart"/>
      <w:r>
        <w:rPr>
          <w:highlight w:val="white"/>
        </w:rPr>
        <w:t>Snyder</w:t>
      </w:r>
      <w:proofErr w:type="spellEnd"/>
      <w:r>
        <w:rPr>
          <w:highlight w:val="white"/>
        </w:rPr>
        <w:t>, 2000). Primerjava med različnimi oblikami skupin, ki se pojavljajo v organizacijah, je predstavljena v Tabeli 1.</w:t>
      </w:r>
    </w:p>
    <w:p w14:paraId="1B94EFF0" w14:textId="77777777" w:rsidR="006A7445" w:rsidRDefault="006A7445">
      <w:pPr>
        <w:jc w:val="both"/>
      </w:pPr>
    </w:p>
    <w:p w14:paraId="3BC58322" w14:textId="77777777" w:rsidR="006A7445" w:rsidRDefault="00000000">
      <w:pPr>
        <w:jc w:val="both"/>
        <w:rPr>
          <w:b/>
          <w:bCs/>
        </w:rPr>
      </w:pPr>
      <w:r>
        <w:rPr>
          <w:b/>
          <w:bCs/>
        </w:rPr>
        <w:lastRenderedPageBreak/>
        <w:t>Tabela 1</w:t>
      </w:r>
    </w:p>
    <w:p w14:paraId="23448AFE" w14:textId="77777777" w:rsidR="006A7445" w:rsidRDefault="00000000">
      <w:pPr>
        <w:jc w:val="both"/>
        <w:rPr>
          <w:i/>
          <w:iCs/>
        </w:rPr>
      </w:pPr>
      <w:r>
        <w:rPr>
          <w:i/>
          <w:iCs/>
        </w:rPr>
        <w:t xml:space="preserve">Primerjava med skupnostmi prakse in drugimi skupinskimi formacijami v organizaciji (povzeto po </w:t>
      </w:r>
      <w:proofErr w:type="spellStart"/>
      <w:r>
        <w:rPr>
          <w:i/>
          <w:iCs/>
        </w:rPr>
        <w:t>Wenger</w:t>
      </w:r>
      <w:proofErr w:type="spellEnd"/>
      <w:r>
        <w:rPr>
          <w:i/>
          <w:iCs/>
        </w:rPr>
        <w:t xml:space="preserve"> in </w:t>
      </w:r>
      <w:proofErr w:type="spellStart"/>
      <w:r>
        <w:rPr>
          <w:i/>
          <w:iCs/>
        </w:rPr>
        <w:t>Snyder</w:t>
      </w:r>
      <w:proofErr w:type="spellEnd"/>
      <w:r>
        <w:rPr>
          <w:i/>
          <w:iCs/>
        </w:rPr>
        <w:t>, 2000)</w:t>
      </w:r>
    </w:p>
    <w:p w14:paraId="1794EB5F" w14:textId="77777777" w:rsidR="006A7445" w:rsidRDefault="006A7445">
      <w:pPr>
        <w:jc w:val="both"/>
        <w:rPr>
          <w:i/>
          <w:iCs/>
        </w:rPr>
      </w:pPr>
    </w:p>
    <w:tbl>
      <w:tblPr>
        <w:tblStyle w:val="Tabelamre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59"/>
        <w:gridCol w:w="1801"/>
        <w:gridCol w:w="2036"/>
        <w:gridCol w:w="1780"/>
        <w:gridCol w:w="1788"/>
      </w:tblGrid>
      <w:tr w:rsidR="009867E3" w14:paraId="44170844" w14:textId="77777777" w:rsidTr="00E04D9C">
        <w:tc>
          <w:tcPr>
            <w:tcW w:w="1759" w:type="dxa"/>
            <w:tcBorders>
              <w:bottom w:val="single" w:sz="4" w:space="0" w:color="auto"/>
            </w:tcBorders>
            <w:vAlign w:val="center"/>
          </w:tcPr>
          <w:p w14:paraId="1A982628" w14:textId="77777777" w:rsidR="009867E3" w:rsidRDefault="009867E3" w:rsidP="00E04D9C">
            <w:pPr>
              <w:jc w:val="center"/>
            </w:pPr>
          </w:p>
        </w:tc>
        <w:tc>
          <w:tcPr>
            <w:tcW w:w="1801" w:type="dxa"/>
            <w:tcBorders>
              <w:bottom w:val="single" w:sz="4" w:space="0" w:color="auto"/>
            </w:tcBorders>
            <w:vAlign w:val="center"/>
          </w:tcPr>
          <w:p w14:paraId="59FC857A" w14:textId="77777777" w:rsidR="009867E3" w:rsidRDefault="009867E3" w:rsidP="00E04D9C">
            <w:pPr>
              <w:jc w:val="center"/>
            </w:pPr>
            <w:r>
              <w:t>namen oblikovanja skupine</w:t>
            </w:r>
          </w:p>
        </w:tc>
        <w:tc>
          <w:tcPr>
            <w:tcW w:w="1934" w:type="dxa"/>
            <w:tcBorders>
              <w:bottom w:val="single" w:sz="4" w:space="0" w:color="auto"/>
            </w:tcBorders>
            <w:vAlign w:val="center"/>
          </w:tcPr>
          <w:p w14:paraId="479974F5" w14:textId="77777777" w:rsidR="009867E3" w:rsidRDefault="009867E3" w:rsidP="00E04D9C">
            <w:pPr>
              <w:jc w:val="center"/>
            </w:pPr>
            <w:r>
              <w:t>udeleženci</w:t>
            </w:r>
          </w:p>
        </w:tc>
        <w:tc>
          <w:tcPr>
            <w:tcW w:w="1780" w:type="dxa"/>
            <w:tcBorders>
              <w:bottom w:val="single" w:sz="4" w:space="0" w:color="auto"/>
            </w:tcBorders>
            <w:vAlign w:val="center"/>
          </w:tcPr>
          <w:p w14:paraId="6528BA76" w14:textId="77777777" w:rsidR="009867E3" w:rsidRDefault="009867E3" w:rsidP="00E04D9C">
            <w:pPr>
              <w:jc w:val="center"/>
            </w:pPr>
            <w:r>
              <w:t>Kaj skupino povezuje?</w:t>
            </w:r>
          </w:p>
        </w:tc>
        <w:tc>
          <w:tcPr>
            <w:tcW w:w="1788" w:type="dxa"/>
            <w:tcBorders>
              <w:bottom w:val="single" w:sz="4" w:space="0" w:color="auto"/>
            </w:tcBorders>
            <w:vAlign w:val="center"/>
          </w:tcPr>
          <w:p w14:paraId="66862A70" w14:textId="77777777" w:rsidR="009867E3" w:rsidRDefault="009867E3" w:rsidP="00E04D9C">
            <w:pPr>
              <w:jc w:val="center"/>
            </w:pPr>
            <w:r>
              <w:t>trajnost skupine</w:t>
            </w:r>
          </w:p>
        </w:tc>
      </w:tr>
      <w:tr w:rsidR="009867E3" w14:paraId="0F8A131C" w14:textId="77777777" w:rsidTr="00E04D9C">
        <w:tc>
          <w:tcPr>
            <w:tcW w:w="1759" w:type="dxa"/>
            <w:tcBorders>
              <w:top w:val="single" w:sz="4" w:space="0" w:color="auto"/>
            </w:tcBorders>
            <w:vAlign w:val="center"/>
          </w:tcPr>
          <w:p w14:paraId="42A50307" w14:textId="77777777" w:rsidR="009867E3" w:rsidRDefault="009867E3" w:rsidP="00E04D9C">
            <w:pPr>
              <w:jc w:val="center"/>
            </w:pPr>
          </w:p>
        </w:tc>
        <w:tc>
          <w:tcPr>
            <w:tcW w:w="1801" w:type="dxa"/>
            <w:tcBorders>
              <w:top w:val="single" w:sz="4" w:space="0" w:color="auto"/>
            </w:tcBorders>
            <w:vAlign w:val="center"/>
          </w:tcPr>
          <w:p w14:paraId="4F71F3B7" w14:textId="77777777" w:rsidR="009867E3" w:rsidRDefault="009867E3" w:rsidP="00E04D9C">
            <w:pPr>
              <w:jc w:val="center"/>
            </w:pPr>
          </w:p>
        </w:tc>
        <w:tc>
          <w:tcPr>
            <w:tcW w:w="1934" w:type="dxa"/>
            <w:tcBorders>
              <w:top w:val="single" w:sz="4" w:space="0" w:color="auto"/>
            </w:tcBorders>
            <w:vAlign w:val="center"/>
          </w:tcPr>
          <w:p w14:paraId="619F9AF4" w14:textId="77777777" w:rsidR="009867E3" w:rsidRDefault="009867E3" w:rsidP="00E04D9C">
            <w:pPr>
              <w:jc w:val="center"/>
            </w:pPr>
          </w:p>
        </w:tc>
        <w:tc>
          <w:tcPr>
            <w:tcW w:w="1780" w:type="dxa"/>
            <w:tcBorders>
              <w:top w:val="single" w:sz="4" w:space="0" w:color="auto"/>
            </w:tcBorders>
            <w:vAlign w:val="center"/>
          </w:tcPr>
          <w:p w14:paraId="43087CEC" w14:textId="77777777" w:rsidR="009867E3" w:rsidRDefault="009867E3" w:rsidP="00E04D9C">
            <w:pPr>
              <w:jc w:val="center"/>
            </w:pPr>
          </w:p>
        </w:tc>
        <w:tc>
          <w:tcPr>
            <w:tcW w:w="1788" w:type="dxa"/>
            <w:tcBorders>
              <w:top w:val="single" w:sz="4" w:space="0" w:color="auto"/>
            </w:tcBorders>
            <w:vAlign w:val="center"/>
          </w:tcPr>
          <w:p w14:paraId="37AD545C" w14:textId="77777777" w:rsidR="009867E3" w:rsidRDefault="009867E3" w:rsidP="00E04D9C">
            <w:pPr>
              <w:jc w:val="center"/>
            </w:pPr>
          </w:p>
        </w:tc>
      </w:tr>
      <w:tr w:rsidR="009867E3" w14:paraId="3F6A5E96" w14:textId="77777777" w:rsidTr="00E04D9C">
        <w:tc>
          <w:tcPr>
            <w:tcW w:w="1759" w:type="dxa"/>
            <w:vAlign w:val="center"/>
          </w:tcPr>
          <w:p w14:paraId="3F0BC9CD" w14:textId="77777777" w:rsidR="009867E3" w:rsidRDefault="009867E3" w:rsidP="00E04D9C">
            <w:r>
              <w:t xml:space="preserve">skupnost </w:t>
            </w:r>
          </w:p>
          <w:p w14:paraId="424992E4" w14:textId="77777777" w:rsidR="009867E3" w:rsidRDefault="009867E3" w:rsidP="00E04D9C">
            <w:r>
              <w:t>prakse</w:t>
            </w:r>
          </w:p>
        </w:tc>
        <w:tc>
          <w:tcPr>
            <w:tcW w:w="1801" w:type="dxa"/>
            <w:vAlign w:val="center"/>
          </w:tcPr>
          <w:p w14:paraId="1B95115E" w14:textId="77777777" w:rsidR="009867E3" w:rsidRDefault="009867E3" w:rsidP="00E04D9C">
            <w:pPr>
              <w:jc w:val="center"/>
            </w:pPr>
            <w:r>
              <w:t>r</w:t>
            </w:r>
            <w:r w:rsidRPr="00484B9B">
              <w:t>azvijanje posameznikovih sposobnosti, gradnja in izmenjava znanja</w:t>
            </w:r>
          </w:p>
        </w:tc>
        <w:tc>
          <w:tcPr>
            <w:tcW w:w="1934" w:type="dxa"/>
            <w:vAlign w:val="center"/>
          </w:tcPr>
          <w:p w14:paraId="40C80323" w14:textId="77777777" w:rsidR="009867E3" w:rsidRDefault="009867E3" w:rsidP="00E04D9C">
            <w:pPr>
              <w:jc w:val="center"/>
            </w:pPr>
            <w:proofErr w:type="spellStart"/>
            <w:r>
              <w:t>s</w:t>
            </w:r>
            <w:r w:rsidRPr="00484B9B">
              <w:t>amoselekcionirani</w:t>
            </w:r>
            <w:proofErr w:type="spellEnd"/>
            <w:r w:rsidRPr="00484B9B">
              <w:t xml:space="preserve"> člani</w:t>
            </w:r>
          </w:p>
        </w:tc>
        <w:tc>
          <w:tcPr>
            <w:tcW w:w="1780" w:type="dxa"/>
            <w:vAlign w:val="center"/>
          </w:tcPr>
          <w:p w14:paraId="542D3433" w14:textId="77777777" w:rsidR="009867E3" w:rsidRDefault="009867E3" w:rsidP="00E04D9C">
            <w:pPr>
              <w:jc w:val="center"/>
            </w:pPr>
            <w:r>
              <w:t>s</w:t>
            </w:r>
            <w:r w:rsidRPr="00484B9B">
              <w:t>trast, zavezanost in identifikacija z skupino</w:t>
            </w:r>
          </w:p>
        </w:tc>
        <w:tc>
          <w:tcPr>
            <w:tcW w:w="1788" w:type="dxa"/>
            <w:vAlign w:val="center"/>
          </w:tcPr>
          <w:p w14:paraId="6538643D" w14:textId="77777777" w:rsidR="009867E3" w:rsidRDefault="009867E3" w:rsidP="00E04D9C">
            <w:pPr>
              <w:jc w:val="center"/>
            </w:pPr>
            <w:r>
              <w:t>d</w:t>
            </w:r>
            <w:r w:rsidRPr="00484B9B">
              <w:t>okler obstaja interes in potreba po ohranjanju skupnosti</w:t>
            </w:r>
          </w:p>
        </w:tc>
      </w:tr>
      <w:tr w:rsidR="009867E3" w14:paraId="22BF7466" w14:textId="77777777" w:rsidTr="00E04D9C">
        <w:trPr>
          <w:trHeight w:val="404"/>
        </w:trPr>
        <w:tc>
          <w:tcPr>
            <w:tcW w:w="1759" w:type="dxa"/>
            <w:vAlign w:val="center"/>
          </w:tcPr>
          <w:p w14:paraId="6EBB85F1" w14:textId="77777777" w:rsidR="009867E3" w:rsidRDefault="009867E3" w:rsidP="00E04D9C"/>
        </w:tc>
        <w:tc>
          <w:tcPr>
            <w:tcW w:w="1801" w:type="dxa"/>
            <w:vAlign w:val="center"/>
          </w:tcPr>
          <w:p w14:paraId="2B0E6C82" w14:textId="77777777" w:rsidR="009867E3" w:rsidRPr="00484B9B" w:rsidRDefault="009867E3" w:rsidP="00E04D9C">
            <w:pPr>
              <w:jc w:val="center"/>
            </w:pPr>
          </w:p>
        </w:tc>
        <w:tc>
          <w:tcPr>
            <w:tcW w:w="1934" w:type="dxa"/>
            <w:vAlign w:val="center"/>
          </w:tcPr>
          <w:p w14:paraId="636577BD" w14:textId="77777777" w:rsidR="009867E3" w:rsidRPr="00484B9B" w:rsidRDefault="009867E3" w:rsidP="00E04D9C">
            <w:pPr>
              <w:jc w:val="center"/>
            </w:pPr>
          </w:p>
        </w:tc>
        <w:tc>
          <w:tcPr>
            <w:tcW w:w="1780" w:type="dxa"/>
            <w:vAlign w:val="center"/>
          </w:tcPr>
          <w:p w14:paraId="46AF768F" w14:textId="77777777" w:rsidR="009867E3" w:rsidRPr="00484B9B" w:rsidRDefault="009867E3" w:rsidP="00E04D9C">
            <w:pPr>
              <w:jc w:val="center"/>
            </w:pPr>
          </w:p>
        </w:tc>
        <w:tc>
          <w:tcPr>
            <w:tcW w:w="1788" w:type="dxa"/>
            <w:vAlign w:val="center"/>
          </w:tcPr>
          <w:p w14:paraId="5464312D" w14:textId="77777777" w:rsidR="009867E3" w:rsidRPr="00484B9B" w:rsidRDefault="009867E3" w:rsidP="00E04D9C">
            <w:pPr>
              <w:jc w:val="center"/>
            </w:pPr>
          </w:p>
        </w:tc>
      </w:tr>
      <w:tr w:rsidR="009867E3" w14:paraId="114E49AF" w14:textId="77777777" w:rsidTr="00E04D9C">
        <w:tc>
          <w:tcPr>
            <w:tcW w:w="1759" w:type="dxa"/>
            <w:vAlign w:val="center"/>
          </w:tcPr>
          <w:p w14:paraId="25E139DC" w14:textId="77777777" w:rsidR="009867E3" w:rsidRDefault="009867E3" w:rsidP="00E04D9C">
            <w:r>
              <w:t xml:space="preserve">formalna delovna </w:t>
            </w:r>
          </w:p>
          <w:p w14:paraId="4C75675E" w14:textId="77777777" w:rsidR="009867E3" w:rsidRDefault="009867E3" w:rsidP="00E04D9C">
            <w:r>
              <w:t>skupina</w:t>
            </w:r>
          </w:p>
        </w:tc>
        <w:tc>
          <w:tcPr>
            <w:tcW w:w="1801" w:type="dxa"/>
            <w:vAlign w:val="center"/>
          </w:tcPr>
          <w:p w14:paraId="4F0B4EB3" w14:textId="77777777" w:rsidR="009867E3" w:rsidRDefault="009867E3" w:rsidP="00E04D9C">
            <w:pPr>
              <w:jc w:val="center"/>
            </w:pPr>
            <w:r>
              <w:t>o</w:t>
            </w:r>
            <w:r w:rsidRPr="00484B9B">
              <w:t>blikovanje produkta ali storitve</w:t>
            </w:r>
          </w:p>
        </w:tc>
        <w:tc>
          <w:tcPr>
            <w:tcW w:w="1934" w:type="dxa"/>
            <w:vAlign w:val="center"/>
          </w:tcPr>
          <w:p w14:paraId="7FD702CA" w14:textId="77777777" w:rsidR="009867E3" w:rsidRDefault="009867E3" w:rsidP="00E04D9C">
            <w:pPr>
              <w:jc w:val="center"/>
            </w:pPr>
            <w:r>
              <w:t>d</w:t>
            </w:r>
            <w:r w:rsidRPr="00484B9B">
              <w:t>oločeni s strani formalne vodje</w:t>
            </w:r>
          </w:p>
        </w:tc>
        <w:tc>
          <w:tcPr>
            <w:tcW w:w="1780" w:type="dxa"/>
            <w:vAlign w:val="center"/>
          </w:tcPr>
          <w:p w14:paraId="7692F072" w14:textId="77777777" w:rsidR="009867E3" w:rsidRDefault="009867E3" w:rsidP="00E04D9C">
            <w:pPr>
              <w:jc w:val="center"/>
            </w:pPr>
            <w:r>
              <w:t>z</w:t>
            </w:r>
            <w:r w:rsidRPr="00484B9B">
              <w:t>ahteve dela in skupni cilji</w:t>
            </w:r>
          </w:p>
        </w:tc>
        <w:tc>
          <w:tcPr>
            <w:tcW w:w="1788" w:type="dxa"/>
            <w:vAlign w:val="center"/>
          </w:tcPr>
          <w:p w14:paraId="7E1F495C" w14:textId="77777777" w:rsidR="009867E3" w:rsidRDefault="009867E3" w:rsidP="00E04D9C">
            <w:pPr>
              <w:jc w:val="center"/>
            </w:pPr>
            <w:r>
              <w:t>d</w:t>
            </w:r>
            <w:r w:rsidRPr="00484B9B">
              <w:t>o reorganizacije skupin(e) v org</w:t>
            </w:r>
            <w:r>
              <w:t>anizaciji</w:t>
            </w:r>
          </w:p>
        </w:tc>
      </w:tr>
      <w:tr w:rsidR="009867E3" w14:paraId="62876E95" w14:textId="77777777" w:rsidTr="00E04D9C">
        <w:trPr>
          <w:trHeight w:val="336"/>
        </w:trPr>
        <w:tc>
          <w:tcPr>
            <w:tcW w:w="1759" w:type="dxa"/>
            <w:vAlign w:val="center"/>
          </w:tcPr>
          <w:p w14:paraId="036D6A69" w14:textId="77777777" w:rsidR="009867E3" w:rsidRDefault="009867E3" w:rsidP="00E04D9C"/>
        </w:tc>
        <w:tc>
          <w:tcPr>
            <w:tcW w:w="1801" w:type="dxa"/>
            <w:vAlign w:val="center"/>
          </w:tcPr>
          <w:p w14:paraId="1797FB97" w14:textId="77777777" w:rsidR="009867E3" w:rsidRPr="00484B9B" w:rsidRDefault="009867E3" w:rsidP="00E04D9C">
            <w:pPr>
              <w:jc w:val="center"/>
            </w:pPr>
          </w:p>
        </w:tc>
        <w:tc>
          <w:tcPr>
            <w:tcW w:w="1934" w:type="dxa"/>
            <w:vAlign w:val="center"/>
          </w:tcPr>
          <w:p w14:paraId="3C9B813C" w14:textId="77777777" w:rsidR="009867E3" w:rsidRPr="00484B9B" w:rsidRDefault="009867E3" w:rsidP="00E04D9C">
            <w:pPr>
              <w:jc w:val="center"/>
            </w:pPr>
          </w:p>
        </w:tc>
        <w:tc>
          <w:tcPr>
            <w:tcW w:w="1780" w:type="dxa"/>
            <w:vAlign w:val="center"/>
          </w:tcPr>
          <w:p w14:paraId="34B9A92C" w14:textId="77777777" w:rsidR="009867E3" w:rsidRPr="00484B9B" w:rsidRDefault="009867E3" w:rsidP="00E04D9C">
            <w:pPr>
              <w:jc w:val="center"/>
            </w:pPr>
          </w:p>
        </w:tc>
        <w:tc>
          <w:tcPr>
            <w:tcW w:w="1788" w:type="dxa"/>
            <w:vAlign w:val="center"/>
          </w:tcPr>
          <w:p w14:paraId="519BD6AC" w14:textId="77777777" w:rsidR="009867E3" w:rsidRPr="00484B9B" w:rsidRDefault="009867E3" w:rsidP="00E04D9C">
            <w:pPr>
              <w:jc w:val="center"/>
            </w:pPr>
          </w:p>
        </w:tc>
      </w:tr>
      <w:tr w:rsidR="009867E3" w14:paraId="3B556799" w14:textId="77777777" w:rsidTr="00E04D9C">
        <w:tc>
          <w:tcPr>
            <w:tcW w:w="1759" w:type="dxa"/>
            <w:tcBorders>
              <w:bottom w:val="single" w:sz="4" w:space="0" w:color="auto"/>
            </w:tcBorders>
            <w:vAlign w:val="center"/>
          </w:tcPr>
          <w:p w14:paraId="00AA2BC4" w14:textId="77777777" w:rsidR="009867E3" w:rsidRDefault="009867E3" w:rsidP="00E04D9C">
            <w:r>
              <w:t xml:space="preserve">projektni </w:t>
            </w:r>
          </w:p>
          <w:p w14:paraId="1B5DA551" w14:textId="77777777" w:rsidR="009867E3" w:rsidRDefault="009867E3" w:rsidP="00E04D9C">
            <w:r>
              <w:t>tim</w:t>
            </w:r>
          </w:p>
        </w:tc>
        <w:tc>
          <w:tcPr>
            <w:tcW w:w="1801" w:type="dxa"/>
            <w:tcBorders>
              <w:bottom w:val="single" w:sz="4" w:space="0" w:color="auto"/>
            </w:tcBorders>
            <w:vAlign w:val="center"/>
          </w:tcPr>
          <w:p w14:paraId="729BE738" w14:textId="77777777" w:rsidR="009867E3" w:rsidRDefault="009867E3" w:rsidP="00E04D9C">
            <w:pPr>
              <w:jc w:val="center"/>
            </w:pPr>
            <w:r>
              <w:t>d</w:t>
            </w:r>
            <w:r w:rsidRPr="00484B9B">
              <w:t>oseganje specifične naloge</w:t>
            </w:r>
          </w:p>
        </w:tc>
        <w:tc>
          <w:tcPr>
            <w:tcW w:w="1934" w:type="dxa"/>
            <w:tcBorders>
              <w:bottom w:val="single" w:sz="4" w:space="0" w:color="auto"/>
            </w:tcBorders>
            <w:vAlign w:val="center"/>
          </w:tcPr>
          <w:p w14:paraId="62025008" w14:textId="77777777" w:rsidR="009867E3" w:rsidRDefault="009867E3" w:rsidP="00E04D9C">
            <w:pPr>
              <w:jc w:val="center"/>
            </w:pPr>
            <w:r>
              <w:t>d</w:t>
            </w:r>
            <w:r w:rsidRPr="00484B9B">
              <w:t>oločeni s strani formalne vodje</w:t>
            </w:r>
          </w:p>
        </w:tc>
        <w:tc>
          <w:tcPr>
            <w:tcW w:w="1780" w:type="dxa"/>
            <w:tcBorders>
              <w:bottom w:val="single" w:sz="4" w:space="0" w:color="auto"/>
            </w:tcBorders>
            <w:vAlign w:val="center"/>
          </w:tcPr>
          <w:p w14:paraId="0DC52EBB" w14:textId="77777777" w:rsidR="009867E3" w:rsidRDefault="009867E3" w:rsidP="00E04D9C">
            <w:pPr>
              <w:jc w:val="center"/>
            </w:pPr>
            <w:r>
              <w:t>c</w:t>
            </w:r>
            <w:r w:rsidRPr="00484B9B">
              <w:t>ilji projekta</w:t>
            </w:r>
          </w:p>
        </w:tc>
        <w:tc>
          <w:tcPr>
            <w:tcW w:w="1788" w:type="dxa"/>
            <w:tcBorders>
              <w:bottom w:val="single" w:sz="4" w:space="0" w:color="auto"/>
            </w:tcBorders>
            <w:vAlign w:val="center"/>
          </w:tcPr>
          <w:p w14:paraId="609E7E05" w14:textId="77777777" w:rsidR="009867E3" w:rsidRDefault="009867E3" w:rsidP="00E04D9C">
            <w:pPr>
              <w:jc w:val="center"/>
            </w:pPr>
            <w:r>
              <w:t>d</w:t>
            </w:r>
            <w:r w:rsidRPr="00484B9B">
              <w:t>o konca projekta</w:t>
            </w:r>
          </w:p>
        </w:tc>
      </w:tr>
    </w:tbl>
    <w:p w14:paraId="47165EB9" w14:textId="51C400D6" w:rsidR="006A7445" w:rsidRDefault="006A7445">
      <w:pPr>
        <w:jc w:val="both"/>
      </w:pPr>
    </w:p>
    <w:p w14:paraId="403CB66D" w14:textId="77777777" w:rsidR="006A7445" w:rsidRDefault="006A7445">
      <w:pPr>
        <w:jc w:val="both"/>
      </w:pPr>
    </w:p>
    <w:p w14:paraId="742F378E" w14:textId="77777777" w:rsidR="006A7445" w:rsidRDefault="00000000">
      <w:pPr>
        <w:jc w:val="both"/>
      </w:pPr>
      <w:r>
        <w:t>Paradoksalni značaj skupnosti prakse je v tem, da svoj pomen izgubijo, ko jih poskušamo pretirano formalizirati. V tem primeru obstaja nevarnost, da se prelevijo v drugo obliko skupinskega sodelovanja med zaposlenimi v organizaciji. Njihova specifika je prav v tem, da jih ne moremo ustanoviti v formalni obliki in jih eksplicitno spodbujati, lahko pa v organizaciji ustvarimo odprto, spodbudno in varno okolje za njihovo oblikovanje.</w:t>
      </w:r>
    </w:p>
    <w:p w14:paraId="5273391F" w14:textId="77777777" w:rsidR="006A7445" w:rsidRDefault="006A7445">
      <w:pPr>
        <w:jc w:val="both"/>
        <w:rPr>
          <w:b/>
          <w:bCs/>
        </w:rPr>
      </w:pPr>
    </w:p>
    <w:p w14:paraId="296341E4" w14:textId="77777777" w:rsidR="006A7445" w:rsidRDefault="006A7445">
      <w:pPr>
        <w:jc w:val="both"/>
        <w:rPr>
          <w:b/>
          <w:bCs/>
        </w:rPr>
      </w:pPr>
    </w:p>
    <w:p w14:paraId="5FE38352" w14:textId="77777777" w:rsidR="006A7445" w:rsidRDefault="00000000">
      <w:pPr>
        <w:numPr>
          <w:ilvl w:val="0"/>
          <w:numId w:val="1"/>
        </w:numPr>
        <w:jc w:val="both"/>
        <w:rPr>
          <w:b/>
          <w:bCs/>
        </w:rPr>
      </w:pPr>
      <w:r>
        <w:rPr>
          <w:b/>
          <w:bCs/>
        </w:rPr>
        <w:t>NASTANEK IN RAZVOJ METODE</w:t>
      </w:r>
    </w:p>
    <w:p w14:paraId="3631C32C" w14:textId="77777777" w:rsidR="006A7445" w:rsidRDefault="00000000">
      <w:pPr>
        <w:spacing w:before="240" w:after="240"/>
        <w:jc w:val="both"/>
      </w:pPr>
      <w:r>
        <w:t xml:space="preserve">Koncept skupnosti prakse se je skozi zgodovino razvijal od teorije situiranega učenja (učenje, ki se vedno dogaja v določenem kontekstu, družbenem okolju in dejavnosti) do strateškega orodja za upravljanje znanja v organizacijah. Prvotno sta koncept v začetku 90. let 20. </w:t>
      </w:r>
      <w:proofErr w:type="spellStart"/>
      <w:r>
        <w:t>stoletj</w:t>
      </w:r>
      <w:proofErr w:type="spellEnd"/>
      <w:r>
        <w:t xml:space="preserve"> oblikovala socialna antropologinja Jean Lave in sociolog </w:t>
      </w:r>
      <w:proofErr w:type="spellStart"/>
      <w:r>
        <w:t>Etienne</w:t>
      </w:r>
      <w:proofErr w:type="spellEnd"/>
      <w:r>
        <w:t xml:space="preserve"> </w:t>
      </w:r>
      <w:proofErr w:type="spellStart"/>
      <w:r>
        <w:t>Wenger</w:t>
      </w:r>
      <w:proofErr w:type="spellEnd"/>
      <w:r>
        <w:t xml:space="preserve"> (1991, v </w:t>
      </w:r>
      <w:proofErr w:type="spellStart"/>
      <w:r>
        <w:t>Cox</w:t>
      </w:r>
      <w:proofErr w:type="spellEnd"/>
      <w:r>
        <w:t xml:space="preserve">, 2005) na podlagi preučevanja vajeništva. Opazila sta, da skupnost, v kateri se vajenec uči, deluje kot »živi učni načrt« (ang. </w:t>
      </w:r>
      <w:proofErr w:type="spellStart"/>
      <w:r>
        <w:rPr>
          <w:i/>
          <w:iCs/>
        </w:rPr>
        <w:t>living</w:t>
      </w:r>
      <w:proofErr w:type="spellEnd"/>
      <w:r>
        <w:rPr>
          <w:i/>
          <w:iCs/>
        </w:rPr>
        <w:t xml:space="preserve"> </w:t>
      </w:r>
      <w:proofErr w:type="spellStart"/>
      <w:r>
        <w:rPr>
          <w:i/>
          <w:iCs/>
        </w:rPr>
        <w:t>curriculum</w:t>
      </w:r>
      <w:proofErr w:type="spellEnd"/>
      <w:r>
        <w:t>), ki omogoča postopno vključevanje posameznika v prakso izkušenih članov (</w:t>
      </w:r>
      <w:proofErr w:type="spellStart"/>
      <w:r>
        <w:t>Wenger</w:t>
      </w:r>
      <w:proofErr w:type="spellEnd"/>
      <w:r>
        <w:t xml:space="preserve">, 2011). Učenje je pri tem razumljeno kot situirana socialna interakcija, ki spreminja identiteto posameznika, ne zgolj kot kopičenje informacij. Koncept je kasneje poglobil </w:t>
      </w:r>
      <w:proofErr w:type="spellStart"/>
      <w:r>
        <w:t>Wenger</w:t>
      </w:r>
      <w:proofErr w:type="spellEnd"/>
      <w:r>
        <w:t xml:space="preserve"> (1998, v </w:t>
      </w:r>
      <w:proofErr w:type="spellStart"/>
      <w:r>
        <w:t>Cox</w:t>
      </w:r>
      <w:proofErr w:type="spellEnd"/>
      <w:r>
        <w:t>, 2005), ki je skupnost prakse opredelil kot skupino ljudi, povezanih prek vzajemnega udejstvovanja (</w:t>
      </w:r>
      <w:proofErr w:type="spellStart"/>
      <w:r>
        <w:t>mutual</w:t>
      </w:r>
      <w:proofErr w:type="spellEnd"/>
      <w:r>
        <w:t xml:space="preserve"> </w:t>
      </w:r>
      <w:proofErr w:type="spellStart"/>
      <w:r>
        <w:t>engagement</w:t>
      </w:r>
      <w:proofErr w:type="spellEnd"/>
      <w:r>
        <w:t>) v skupnem podjetju (</w:t>
      </w:r>
      <w:proofErr w:type="spellStart"/>
      <w:r>
        <w:t>joint</w:t>
      </w:r>
      <w:proofErr w:type="spellEnd"/>
      <w:r>
        <w:t xml:space="preserve"> </w:t>
      </w:r>
      <w:proofErr w:type="spellStart"/>
      <w:r>
        <w:t>enterprise</w:t>
      </w:r>
      <w:proofErr w:type="spellEnd"/>
      <w:r>
        <w:t>), pri čemer razvijajo skupni repertoar (</w:t>
      </w:r>
      <w:proofErr w:type="spellStart"/>
      <w:r>
        <w:t>shared</w:t>
      </w:r>
      <w:proofErr w:type="spellEnd"/>
      <w:r>
        <w:t xml:space="preserve"> </w:t>
      </w:r>
      <w:proofErr w:type="spellStart"/>
      <w:r>
        <w:t>repertoire</w:t>
      </w:r>
      <w:proofErr w:type="spellEnd"/>
      <w:r>
        <w:t xml:space="preserve">) orodij, zgodb, jezikov in praks. Poudarek se je premaknil na družbeno pogajanje o pomenu in razumevanje učenja kot procesa, ki se nenehno </w:t>
      </w:r>
      <w:r>
        <w:lastRenderedPageBreak/>
        <w:t xml:space="preserve">odvija znotraj skupne prakse. V naslednji fazi so </w:t>
      </w:r>
      <w:proofErr w:type="spellStart"/>
      <w:r>
        <w:t>Wenger</w:t>
      </w:r>
      <w:proofErr w:type="spellEnd"/>
      <w:r>
        <w:t xml:space="preserve">, </w:t>
      </w:r>
      <w:proofErr w:type="spellStart"/>
      <w:r>
        <w:t>McDermott</w:t>
      </w:r>
      <w:proofErr w:type="spellEnd"/>
      <w:r>
        <w:t xml:space="preserve"> in </w:t>
      </w:r>
      <w:proofErr w:type="spellStart"/>
      <w:r>
        <w:t>Snyder</w:t>
      </w:r>
      <w:proofErr w:type="spellEnd"/>
      <w:r>
        <w:t xml:space="preserve"> (2002, v </w:t>
      </w:r>
      <w:proofErr w:type="spellStart"/>
      <w:r>
        <w:t>Cox</w:t>
      </w:r>
      <w:proofErr w:type="spellEnd"/>
      <w:r>
        <w:t>, 2005) koncept premaknili v organizacijski okvir, kjer so skupnosti prakse razumljene kot strateški vir znanja.. Poznejši razvoj koncepta je povezal razliko med formalnim znanjem in védenjem v praksi (</w:t>
      </w:r>
      <w:proofErr w:type="spellStart"/>
      <w:r>
        <w:rPr>
          <w:i/>
          <w:iCs/>
        </w:rPr>
        <w:t>knowing</w:t>
      </w:r>
      <w:proofErr w:type="spellEnd"/>
      <w:r>
        <w:rPr>
          <w:i/>
          <w:iCs/>
        </w:rPr>
        <w:t>-in-</w:t>
      </w:r>
      <w:proofErr w:type="spellStart"/>
      <w:r>
        <w:rPr>
          <w:i/>
          <w:iCs/>
        </w:rPr>
        <w:t>practice</w:t>
      </w:r>
      <w:proofErr w:type="spellEnd"/>
      <w:r>
        <w:t>), pri čemer znanje nastaja skozi skupno izkušnjo in delovanje. Danes koncept skupnosti prakse odraža sodobno razumevanje organizacij kot prostorov, ki poleg ekonomskih funkcij omogočajo tudi osebni razvoj, oblikovanje identitete ter krepitev znanja in veščin, pri čemer je identiteta posameznika dinamičen in večplasten proces, ki se nenehno razvija v interakciji z drugimi (</w:t>
      </w:r>
      <w:proofErr w:type="spellStart"/>
      <w:r>
        <w:t>Manuti</w:t>
      </w:r>
      <w:proofErr w:type="spellEnd"/>
      <w:r>
        <w:t xml:space="preserve"> idr., 2017).V organizacijskih kontekstih so skupnosti prakse postale pomembne zaradi razumevanja znanja kot ključnega strateškega vira in zaradi premika poudarka z informacijskih sistemov na ljudi in socialne strukture, ki omogočajo učenje znotraj organizacij. Danes ima ta koncept pomemben vpliv na številna področja, kot so izobraževalne in vladne organizacije, pa tudi delovne organizacije (</w:t>
      </w:r>
      <w:proofErr w:type="spellStart"/>
      <w:r>
        <w:t>Hunter</w:t>
      </w:r>
      <w:proofErr w:type="spellEnd"/>
      <w:r>
        <w:t xml:space="preserve"> idr., 2014).</w:t>
      </w:r>
    </w:p>
    <w:p w14:paraId="2E19356B" w14:textId="77777777" w:rsidR="006A7445" w:rsidRDefault="00000000">
      <w:pPr>
        <w:numPr>
          <w:ilvl w:val="0"/>
          <w:numId w:val="1"/>
        </w:numPr>
        <w:jc w:val="both"/>
        <w:rPr>
          <w:b/>
          <w:bCs/>
        </w:rPr>
      </w:pPr>
      <w:r>
        <w:rPr>
          <w:b/>
          <w:bCs/>
        </w:rPr>
        <w:t xml:space="preserve">ZNANSTVENA SPOZNANJA O UPORABNOSTI METODE </w:t>
      </w:r>
    </w:p>
    <w:p w14:paraId="182319D3" w14:textId="77777777" w:rsidR="006A7445" w:rsidRDefault="00000000">
      <w:pPr>
        <w:jc w:val="both"/>
      </w:pPr>
      <w:r>
        <w:t xml:space="preserve">Kot že prej omenjeno, je metoda v svojem polnem pomenu aplicirana takrat, ko ni pretirano formalizirana oziroma ko organizacija dopušča, da se skupnosti prakse pojavijo spontano. Zaradi ohlapnejše formalizacije in posledične težje operacionalizacije spremenljivk, ki so povezane s skupnostmi prakse, je težko poročati o merljivih učinkih njihove prisotnosti v organizaciji. </w:t>
      </w:r>
      <w:proofErr w:type="spellStart"/>
      <w:r>
        <w:t>Ropes</w:t>
      </w:r>
      <w:proofErr w:type="spellEnd"/>
      <w:r>
        <w:t xml:space="preserve"> (2011) predlaga konceptualni model (Slika 1), ki poudarja, da je kompleksen in večplasten vpliv skupnosti prakse na delovanje organizacij potrebno razumeti na različnih nivojih, in sicer organizacijski, skupinski in individualni. </w:t>
      </w:r>
    </w:p>
    <w:p w14:paraId="15A25FDD" w14:textId="77777777" w:rsidR="006A7445" w:rsidRDefault="006A7445">
      <w:pPr>
        <w:jc w:val="both"/>
      </w:pPr>
    </w:p>
    <w:p w14:paraId="11445B35" w14:textId="77777777" w:rsidR="006A7445" w:rsidRDefault="00000000">
      <w:pPr>
        <w:jc w:val="both"/>
        <w:rPr>
          <w:b/>
          <w:bCs/>
        </w:rPr>
      </w:pPr>
      <w:r>
        <w:rPr>
          <w:b/>
          <w:bCs/>
        </w:rPr>
        <w:t>Slika 1</w:t>
      </w:r>
    </w:p>
    <w:p w14:paraId="066BC365" w14:textId="77777777" w:rsidR="006A7445" w:rsidRDefault="00000000">
      <w:pPr>
        <w:jc w:val="both"/>
      </w:pPr>
      <w:r>
        <w:rPr>
          <w:i/>
          <w:iCs/>
        </w:rPr>
        <w:t xml:space="preserve">Povezanost med udeleženostjo v skupnosti prakse in učenjem na individualni, skupinski in organizacijski ravni (povzeto po </w:t>
      </w:r>
      <w:proofErr w:type="spellStart"/>
      <w:r>
        <w:rPr>
          <w:i/>
          <w:iCs/>
        </w:rPr>
        <w:t>Ropes</w:t>
      </w:r>
      <w:proofErr w:type="spellEnd"/>
      <w:r>
        <w:rPr>
          <w:i/>
          <w:iCs/>
        </w:rPr>
        <w:t>, 2011).</w:t>
      </w:r>
    </w:p>
    <w:p w14:paraId="6F33A393" w14:textId="77777777" w:rsidR="006A7445" w:rsidRDefault="00000000">
      <w:pPr>
        <w:jc w:val="both"/>
      </w:pPr>
      <w:r>
        <w:rPr>
          <w:noProof/>
        </w:rPr>
        <w:drawing>
          <wp:inline distT="114300" distB="114300" distL="114300" distR="114300" wp14:anchorId="79901FC9" wp14:editId="043C3C4D">
            <wp:extent cx="3390900" cy="2012950"/>
            <wp:effectExtent l="0" t="0" r="0" b="635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3391577" cy="2013352"/>
                    </a:xfrm>
                    <a:prstGeom prst="rect">
                      <a:avLst/>
                    </a:prstGeom>
                    <a:ln/>
                  </pic:spPr>
                </pic:pic>
              </a:graphicData>
            </a:graphic>
          </wp:inline>
        </w:drawing>
      </w:r>
    </w:p>
    <w:p w14:paraId="2B172CD9" w14:textId="77777777" w:rsidR="006A7445" w:rsidRDefault="00000000">
      <w:pPr>
        <w:spacing w:before="240" w:after="240"/>
        <w:jc w:val="both"/>
      </w:pPr>
      <w:r>
        <w:t xml:space="preserve">Na </w:t>
      </w:r>
      <w:r>
        <w:rPr>
          <w:b/>
          <w:bCs/>
        </w:rPr>
        <w:t>organizacijski ravni</w:t>
      </w:r>
      <w:r>
        <w:t xml:space="preserve"> delujejo kot generatorji znanja in mehanizmi za krepitev organizacijskega učenja. S tem ko ustvarjajo in utrjujejo različne artefakte, kot so zgodbe, postopki in strokovna spoznanja, prispevajo k postopnemu vgrajevanju znanja v organizacijske rutine, kar omogoča izboljšanje obstoječih procesov ter razvoj ali prenovo organizacijske strategije. Učenje v skupnosti prakse ima pogosto tudi merljive ekonomske učinke, saj spodbuja inovativnost, dviguje kakovost izvajanja nalog ter povečuje organizacijsko prilagodljivost. (</w:t>
      </w:r>
      <w:proofErr w:type="spellStart"/>
      <w:r>
        <w:t>Ropes</w:t>
      </w:r>
      <w:proofErr w:type="spellEnd"/>
      <w:r>
        <w:t xml:space="preserve">, 2011). Številne organizacije so skupnosti prakse uporabile tudi kot strategijo upravljanja z </w:t>
      </w:r>
      <w:r>
        <w:lastRenderedPageBreak/>
        <w:t xml:space="preserve">znanjem. To lahko ilustriramo s primerom </w:t>
      </w:r>
      <w:proofErr w:type="spellStart"/>
      <w:r>
        <w:t>multinacionalnega</w:t>
      </w:r>
      <w:proofErr w:type="spellEnd"/>
      <w:r>
        <w:t xml:space="preserve"> kemijskega podjetja </w:t>
      </w:r>
      <w:proofErr w:type="spellStart"/>
      <w:r>
        <w:t>Buckman</w:t>
      </w:r>
      <w:proofErr w:type="spellEnd"/>
      <w:r>
        <w:t xml:space="preserve"> </w:t>
      </w:r>
      <w:proofErr w:type="spellStart"/>
      <w:r>
        <w:t>Labs</w:t>
      </w:r>
      <w:proofErr w:type="spellEnd"/>
      <w:r>
        <w:t xml:space="preserve"> ilustrira, kjer so skupnosti prakse oblikovali kot strokovni center za pomoč zaposlenim, ki je bila dostopna 24 ur na dan. Ta mednarodna struktura je delovala kot skupnost prakse in omogočala nenehen prenos znanja in informacij med strokovnjaki v podjetju in tako učinkovala kot globalna mreža strokovne podpore ter doprinesla k hitrejšemu in bolj učinkovitemu reševanju problemov (</w:t>
      </w:r>
      <w:proofErr w:type="spellStart"/>
      <w:r>
        <w:t>Wenger</w:t>
      </w:r>
      <w:proofErr w:type="spellEnd"/>
      <w:r>
        <w:t xml:space="preserve"> in </w:t>
      </w:r>
      <w:proofErr w:type="spellStart"/>
      <w:r>
        <w:t>Snyder</w:t>
      </w:r>
      <w:proofErr w:type="spellEnd"/>
      <w:r>
        <w:t xml:space="preserve">, 2000). </w:t>
      </w:r>
      <w:proofErr w:type="spellStart"/>
      <w:r>
        <w:t>Hunter</w:t>
      </w:r>
      <w:proofErr w:type="spellEnd"/>
      <w:r>
        <w:t xml:space="preserve"> in sodelavci (2014) dodajajo, da skupnosti prakse olajšajo uvajanje novih praks v organizaciji, omogočajo preverjanje in krepitev kompetenc ter tako ustvarjajo neposredno povezavo med učenjem zaposlenih in organizacijsko uspešnostjo. </w:t>
      </w:r>
    </w:p>
    <w:p w14:paraId="332050C8" w14:textId="77777777" w:rsidR="006A7445" w:rsidRDefault="00000000">
      <w:pPr>
        <w:spacing w:before="240" w:after="240"/>
        <w:jc w:val="both"/>
      </w:pPr>
      <w:r>
        <w:t xml:space="preserve">Na </w:t>
      </w:r>
      <w:r>
        <w:rPr>
          <w:b/>
          <w:bCs/>
        </w:rPr>
        <w:t>skupinski ravni</w:t>
      </w:r>
      <w:r>
        <w:t xml:space="preserve"> skupnosti prakse delujejo kot okolja za kolektivno učenje, ki organizaciji prinaša visoko dodano vrednost. V njih člani skupaj ustvarjajo novo znanje, ga preizkušajo v praksi in vključujejo v delovne procese, pri čemer se takšno znanje pogosto uporabi kot osnova za nadaljnje inovacije. Skupnosti prakse delujejo kot varna učna okolja, oddaljena od vsakodnevnih pritiskov, kar omogoča refleksijo, izmenjavo izkušenj in eksperimentiranje (</w:t>
      </w:r>
      <w:proofErr w:type="spellStart"/>
      <w:r>
        <w:t>Ropes</w:t>
      </w:r>
      <w:proofErr w:type="spellEnd"/>
      <w:r>
        <w:t xml:space="preserve">, 2011). Skupnosti prakse kot skupinska učna infrastruktura tako omogočajo pretok, akumulacijo in razvoj implicitnega znanja, ki je pogosto ključno za reševanje kompleksnih problemov. </w:t>
      </w:r>
      <w:proofErr w:type="spellStart"/>
      <w:r>
        <w:t>Pyrko</w:t>
      </w:r>
      <w:proofErr w:type="spellEnd"/>
      <w:r>
        <w:t xml:space="preserve"> in sodelavci (2017) navajajo primer uporabe skupnosti prakse za razvoj implicitnega znanja strokovnjakov v kompleksnih in nepredvidljivih okoliščinah pri zdravstvenih delavcih, ki se soočajo z urgentnimi situacijami in zahtevnimi kliničnimi vprašanji. V raziskavi so skupnosti prakse predstavljale ključno okolje za razvoj profesionalne presoje, refleksije in delovanja v praksi. </w:t>
      </w:r>
    </w:p>
    <w:p w14:paraId="79C7DB39" w14:textId="77777777" w:rsidR="006A7445" w:rsidRDefault="00000000">
      <w:pPr>
        <w:spacing w:before="240" w:after="240"/>
        <w:jc w:val="both"/>
      </w:pPr>
      <w:r>
        <w:t xml:space="preserve">Na </w:t>
      </w:r>
      <w:r>
        <w:rPr>
          <w:b/>
          <w:bCs/>
        </w:rPr>
        <w:t>individualni ravni</w:t>
      </w:r>
      <w:r>
        <w:t xml:space="preserve"> pa skupnosti prakse predstavljajo učinkovita okolja za razvoj strokovnega znanja, veščin in identitete. Sodelovanje v skupnostih prakse posameznikom omogoča, da postopno postajajo strokovnjaki na svojem področju delovanja, saj se učijo preko izmenjave praks, imajo dostopa do izkušenejših kolegov, hkrati pa jim skupnosti prakse lahko predstavljajo okvir za lastni prispevek v skupnost. Skupnosti prakse so lahko uporabljene tudi kot okvir kritične refleksije o lastnem delovanju (v tem primeru jih lahko poimenujemo kritične skupnosti prakse). Te vključuje analizo lastnih in skupnih praks v kontekstu, iskanje izboljšav ter refleksijo osebnih in organizacijskih vrednot, kar na dolgi rok povečuje sposobnost organizacije za učenje in prilagajanje (</w:t>
      </w:r>
      <w:proofErr w:type="spellStart"/>
      <w:r>
        <w:t>Ropes</w:t>
      </w:r>
      <w:proofErr w:type="spellEnd"/>
      <w:r>
        <w:t>, 2011). Skupnosti prakse lahko za posameznike predstavljajo tudi vir psihosocialnih koristi, kot so večja motivacija, občutek pripadnosti organizaciji, dostop do profesionalnih mrež in višje zadovoljstvo pri delu (</w:t>
      </w:r>
      <w:proofErr w:type="spellStart"/>
      <w:r>
        <w:t>Wenger</w:t>
      </w:r>
      <w:proofErr w:type="spellEnd"/>
      <w:r>
        <w:t xml:space="preserve"> in </w:t>
      </w:r>
      <w:proofErr w:type="spellStart"/>
      <w:r>
        <w:t>Snyder</w:t>
      </w:r>
      <w:proofErr w:type="spellEnd"/>
      <w:r>
        <w:t>, 2000).</w:t>
      </w:r>
    </w:p>
    <w:p w14:paraId="0332205B" w14:textId="77777777" w:rsidR="006A7445" w:rsidRDefault="00000000">
      <w:pPr>
        <w:spacing w:before="240" w:after="240"/>
        <w:jc w:val="both"/>
      </w:pPr>
      <w:r>
        <w:t>Skupnosti prakse tako na vseh treh ravneh tvorijo ključna socialno-kognitivna okolja, kjer se znanje ne prenaša le kot statična entiteta, temveč se nenehno razvija skozi interakcijo, refleksijo in sodelovanje. Z njihovo pomočjo organizacije gradijo, ohranjajo in prenašajo znanje, spodbujajo inovacije ter krepijo svojo sposobnost za dolgoročen, trajnostni razvoj (</w:t>
      </w:r>
      <w:proofErr w:type="spellStart"/>
      <w:r>
        <w:t>Ropes</w:t>
      </w:r>
      <w:proofErr w:type="spellEnd"/>
      <w:r>
        <w:t xml:space="preserve">, 2011; </w:t>
      </w:r>
      <w:proofErr w:type="spellStart"/>
      <w:r>
        <w:t>Wenger</w:t>
      </w:r>
      <w:proofErr w:type="spellEnd"/>
      <w:r>
        <w:t xml:space="preserve"> in </w:t>
      </w:r>
      <w:proofErr w:type="spellStart"/>
      <w:r>
        <w:t>Snyder</w:t>
      </w:r>
      <w:proofErr w:type="spellEnd"/>
      <w:r>
        <w:t xml:space="preserve">, 2000; </w:t>
      </w:r>
      <w:proofErr w:type="spellStart"/>
      <w:r>
        <w:t>Hunter</w:t>
      </w:r>
      <w:proofErr w:type="spellEnd"/>
      <w:r>
        <w:t xml:space="preserve"> idr., 2014; </w:t>
      </w:r>
      <w:proofErr w:type="spellStart"/>
      <w:r>
        <w:t>Pyrko</w:t>
      </w:r>
      <w:proofErr w:type="spellEnd"/>
      <w:r>
        <w:t xml:space="preserve"> idr., 2017). Kljub vsem naštetim pozitivnim učinkom pa raziskovalci (</w:t>
      </w:r>
      <w:proofErr w:type="spellStart"/>
      <w:r>
        <w:t>Pyrko</w:t>
      </w:r>
      <w:proofErr w:type="spellEnd"/>
      <w:r>
        <w:t xml:space="preserve"> idr., 2017) opozarjajo, da skupnosti prakse ne morejo biti enostavno administrativno »ustanovljene«; uspešne so predvsem tiste, ki nastanejo organsko, iz resničnih potreb in skupnih izzivov. </w:t>
      </w:r>
    </w:p>
    <w:p w14:paraId="1CEE92BD" w14:textId="77777777" w:rsidR="009867E3" w:rsidRDefault="009867E3">
      <w:pPr>
        <w:spacing w:before="240" w:after="240"/>
        <w:jc w:val="both"/>
      </w:pPr>
    </w:p>
    <w:p w14:paraId="597A537B" w14:textId="77777777" w:rsidR="009867E3" w:rsidRDefault="009867E3">
      <w:pPr>
        <w:spacing w:before="240" w:after="240"/>
        <w:jc w:val="both"/>
      </w:pPr>
    </w:p>
    <w:p w14:paraId="35100645" w14:textId="77777777" w:rsidR="006A7445" w:rsidRDefault="00000000">
      <w:pPr>
        <w:numPr>
          <w:ilvl w:val="0"/>
          <w:numId w:val="1"/>
        </w:numPr>
        <w:jc w:val="both"/>
        <w:rPr>
          <w:b/>
          <w:bCs/>
        </w:rPr>
      </w:pPr>
      <w:r>
        <w:rPr>
          <w:b/>
          <w:bCs/>
        </w:rPr>
        <w:lastRenderedPageBreak/>
        <w:t xml:space="preserve">PREDSTAVITEV METODE </w:t>
      </w:r>
    </w:p>
    <w:p w14:paraId="42CD5C49" w14:textId="77777777" w:rsidR="006A7445" w:rsidRDefault="00000000">
      <w:pPr>
        <w:ind w:left="720"/>
        <w:jc w:val="both"/>
        <w:rPr>
          <w:b/>
          <w:bCs/>
        </w:rPr>
      </w:pPr>
      <w:r>
        <w:rPr>
          <w:b/>
          <w:bCs/>
        </w:rPr>
        <w:t>4.1. KDAJ METODO UPORABIMO?</w:t>
      </w:r>
    </w:p>
    <w:p w14:paraId="5B5A377B" w14:textId="77777777" w:rsidR="006A7445" w:rsidRDefault="00000000">
      <w:pPr>
        <w:spacing w:before="240" w:after="240"/>
        <w:jc w:val="both"/>
      </w:pPr>
      <w:r>
        <w:t>Metoda skupnosti prakse se uporablja na številnih področjih, med drugim v izobraževanju, javnem sektorju, vladnih institucijah ter delovnih organizacijah (</w:t>
      </w:r>
      <w:proofErr w:type="spellStart"/>
      <w:r>
        <w:t>Hunter</w:t>
      </w:r>
      <w:proofErr w:type="spellEnd"/>
      <w:r>
        <w:t xml:space="preserve"> idr., 2014). V organizacijskem okolju je uporabna predvsem v luči strateškega ravnanja z znanjem, če želimo, da se v polnosti udejanji v vsakdanjem delu in prispeva k dolgoročni uspešnosti organizacije. Skupnosti prakse namreč omogočajo oblikovanje in vzdrževanje procesov, preko katerih se znanje ne le deli, temveč tudi razvija, preoblikuje in vgrajuje v organizacijske prakse. Znotraj organizacij se metoda izkazuje kot izredno večnamenska. </w:t>
      </w:r>
      <w:proofErr w:type="spellStart"/>
      <w:r>
        <w:t>Wenger</w:t>
      </w:r>
      <w:proofErr w:type="spellEnd"/>
      <w:r>
        <w:t xml:space="preserve"> (2011) navaja, da skupnosti prakse podpirajo različne procese, kot so reševanje problemov, posredovanje informacij, deljenje izkušenj, ponovna uporaba obstoječih virov, koordinacija in ustvarjanje sinergij, razprave o novostih in trendih, </w:t>
      </w:r>
      <w:proofErr w:type="spellStart"/>
      <w:r>
        <w:t>medoddelčni</w:t>
      </w:r>
      <w:proofErr w:type="spellEnd"/>
      <w:r>
        <w:t xml:space="preserve"> ali </w:t>
      </w:r>
      <w:proofErr w:type="spellStart"/>
      <w:r>
        <w:t>medorganizacijski</w:t>
      </w:r>
      <w:proofErr w:type="spellEnd"/>
      <w:r>
        <w:t xml:space="preserve"> obiski ter </w:t>
      </w:r>
      <w:proofErr w:type="spellStart"/>
      <w:r>
        <w:t>mapiranje</w:t>
      </w:r>
      <w:proofErr w:type="spellEnd"/>
      <w:r>
        <w:t xml:space="preserve"> znanja in zaznavanje vrzeli v le-tem. Ti procesi se odvijajo v dinamični interakciji med člani skupnosti, ki preko izmenjave praks in refleksije oblikujejo skupni repertoar znanja in razvijajo zmožnost organizacije, da se uči in prilagaja. </w:t>
      </w:r>
    </w:p>
    <w:p w14:paraId="2F0F5728" w14:textId="77777777" w:rsidR="006A7445" w:rsidRDefault="00000000">
      <w:pPr>
        <w:spacing w:before="240" w:after="240"/>
        <w:jc w:val="both"/>
      </w:pPr>
      <w:r>
        <w:t xml:space="preserve">Čeprav lahko organizacije vzpostavijo projektne ali funkcionalne ekipe, ki se lahko postopoma razvijejo v skupnost prakse, kot že večkrat omenjeno skupnosti prakse same po sebi ni mogoče formalno ustanoviti ali administrativno predpisati. Njihova učinkovitost temelji na spontanosti, na skupnem interesu ter na občutku vrednosti, ki ga člani prepoznajo v sodelovanju. Kljub temu pa imajo organizacije pomembno vlogo pri spodbujanju njihovega nastanka in razvoju. Kot poudarjata </w:t>
      </w:r>
      <w:proofErr w:type="spellStart"/>
      <w:r>
        <w:t>Wenger</w:t>
      </w:r>
      <w:proofErr w:type="spellEnd"/>
      <w:r>
        <w:t xml:space="preserve"> in </w:t>
      </w:r>
      <w:proofErr w:type="spellStart"/>
      <w:r>
        <w:t>Snyder</w:t>
      </w:r>
      <w:proofErr w:type="spellEnd"/>
      <w:r>
        <w:t xml:space="preserve"> (2000), je ključno, da organizacije ustvarijo pogoje, ki omogočajo spontano oblikovanje skupnosti prakse ter zagotavljajo njihovo dolgoročno pojavnost. To vključuje prepoznavanje obstoječih ali potencialnih skupnosti, ki bi lahko prispevale k strateškim ciljem, ter vzpostavljanje ustrezne podporne infrastrukture – od materialnih in tehnoloških virov do časa in prostora za srečevanja. Skupnosti prakse lahko svojo vlogo v organizacijah v celoti udejanjijo le v okolju, ki spodbuja odprto izmenjavo, refleksijo, sodelovanje in medsebojno zaupanje. </w:t>
      </w:r>
    </w:p>
    <w:p w14:paraId="7A8F5B77" w14:textId="77777777" w:rsidR="006A7445" w:rsidRDefault="00000000">
      <w:pPr>
        <w:spacing w:before="240" w:after="240"/>
        <w:jc w:val="both"/>
      </w:pPr>
      <w:r>
        <w:t xml:space="preserve">Če povzamem, se metoda skupnosti praks v organizacijskih kontekstih uporablja predvsem kot strategija uspešnega prenašanja znanja, predvsem </w:t>
      </w:r>
      <w:proofErr w:type="spellStart"/>
      <w:r>
        <w:t>tacitnega</w:t>
      </w:r>
      <w:proofErr w:type="spellEnd"/>
      <w:r>
        <w:t xml:space="preserve">. Največ lahko doprinese na področjih, ki so vsebinsko kompleksna, se soočajo z novimi izzivi in odprtimi problematikami, za katere obstaja več možnih rešitev. Uporabna je predvsem v okoljih, ki so odprta za refleksijo in odprto izmenjavo različnih perspektiv. </w:t>
      </w:r>
    </w:p>
    <w:p w14:paraId="68B4DE70" w14:textId="77777777" w:rsidR="006A7445" w:rsidRDefault="00000000">
      <w:pPr>
        <w:ind w:left="720"/>
        <w:jc w:val="both"/>
        <w:rPr>
          <w:b/>
          <w:bCs/>
        </w:rPr>
      </w:pPr>
      <w:r>
        <w:rPr>
          <w:b/>
          <w:bCs/>
        </w:rPr>
        <w:t xml:space="preserve">4.2. KOMU JE METODA NAMENJENA? </w:t>
      </w:r>
    </w:p>
    <w:p w14:paraId="7DC6526A" w14:textId="77777777" w:rsidR="006A7445" w:rsidRDefault="00000000">
      <w:pPr>
        <w:jc w:val="both"/>
      </w:pPr>
      <w:r>
        <w:t>Metoda skupnosti prakse je izrazito univerzalna, saj se lahko oblikuje povsod, kjer ljudje skupaj delajo in se učijo. Namenjena je predvsem skupinam strokovnjakov, ki jih povezujejo skupni izzivi, cilji in interesi v praksi (</w:t>
      </w:r>
      <w:proofErr w:type="spellStart"/>
      <w:r>
        <w:t>Hunter</w:t>
      </w:r>
      <w:proofErr w:type="spellEnd"/>
      <w:r>
        <w:t xml:space="preserve"> idr., 2014; </w:t>
      </w:r>
      <w:proofErr w:type="spellStart"/>
      <w:r>
        <w:t>Pyrko</w:t>
      </w:r>
      <w:proofErr w:type="spellEnd"/>
      <w:r>
        <w:t xml:space="preserve"> idr., 2017). Njena široka uporabnost v organizacijskih kontekstih temelji na dejstvu, da so skupnosti prakse pretežno samoorganizirane in spontano oblikovane skupine, katerih delovanje omogoča naravna težnja ljudi k sodelovanju, torej so skupnosti prakse namenjene predvsem posameznikom, ki so za tovrstno sodelovanje dovolj motivirani, pripravljeni prispevati svoje znanje in perspektive ter v njih vidijo smisel za svoj osebni in profesionalni razvoj.</w:t>
      </w:r>
    </w:p>
    <w:p w14:paraId="3C54A3A5" w14:textId="77777777" w:rsidR="006A7445" w:rsidRDefault="00000000">
      <w:pPr>
        <w:jc w:val="both"/>
      </w:pPr>
      <w:r>
        <w:lastRenderedPageBreak/>
        <w:t>Metoda je posebej relevantna za kontekste, kjer so inovacije ključni dejavnik ustvarjanja in deljenja znanja, kar velja predvsem za akademike in praktike, ki jih zanima ustvarjanje in prenos znanja, državne in družbene organizacije, ki težijo k trajnostnemu gospodarskemu razvoju, ter vlade in oblikovalce politik, ki lahko na podlagi teh spoznanj oblikujejo strategije za krepitev inovativnih zmogljivosti (</w:t>
      </w:r>
      <w:proofErr w:type="spellStart"/>
      <w:r>
        <w:t>Dakhli</w:t>
      </w:r>
      <w:proofErr w:type="spellEnd"/>
      <w:r>
        <w:t xml:space="preserve"> in De </w:t>
      </w:r>
      <w:proofErr w:type="spellStart"/>
      <w:r>
        <w:t>Clercq</w:t>
      </w:r>
      <w:proofErr w:type="spellEnd"/>
      <w:r>
        <w:t>, 2004).</w:t>
      </w:r>
    </w:p>
    <w:p w14:paraId="1616C397" w14:textId="77777777" w:rsidR="006A7445" w:rsidRDefault="006A7445">
      <w:pPr>
        <w:jc w:val="both"/>
      </w:pPr>
    </w:p>
    <w:p w14:paraId="025A38BF" w14:textId="77777777" w:rsidR="006A7445" w:rsidRDefault="00000000">
      <w:pPr>
        <w:jc w:val="both"/>
      </w:pPr>
      <w:r>
        <w:t>Glede značilnosti organizacije ni strogo določenih pravil, za katere tipe organizacij so skupnosti prakse primernejše, so pa avtorji (</w:t>
      </w:r>
      <w:proofErr w:type="spellStart"/>
      <w:r>
        <w:t>Manuti</w:t>
      </w:r>
      <w:proofErr w:type="spellEnd"/>
      <w:r>
        <w:t xml:space="preserve"> idr., 2017) ugotovili, da so skupnosti prakse uspešnejše v </w:t>
      </w:r>
      <w:r>
        <w:rPr>
          <w:i/>
          <w:iCs/>
        </w:rPr>
        <w:t>manjših, manj hierarhičnih organizacijah.</w:t>
      </w:r>
      <w:r>
        <w:t xml:space="preserve"> V velikih podjetjih lahko hierarhična struktura omejuje njihovo avtonomijo v skupnosti prakse in potencialno zavira spontane procese učenja. Manjša in srednje velika podjetja imajo po drugi strani manj formalnih virov za vzpostavitev takšnih skupnosti, vendar pa so zaradi tesnejših odnosov in manj rigidnih struktur pogosto bolj naravno usmerjena v sodelovanje. Pomemben element pa predstavlja tudi </w:t>
      </w:r>
      <w:r>
        <w:rPr>
          <w:i/>
          <w:iCs/>
        </w:rPr>
        <w:t>organizacijska kultura</w:t>
      </w:r>
      <w:r>
        <w:t>, ki jo oblikujejo norme, vrednote in pričakovanja glede vedenja zaposlenih. Potencial skupnosti prakse se lahko uresniči predvsem v harmoničnem in zaupanja vrednem okolju, kjer imajo zaposleni dovolj avtonomije. V organizacijah, kjer prevladuje kultura, ki spodbuja učenje, refleksijo in izmenjavo znanja, skupnosti prakse uspevajo bistveno lažje, to pa je ključno za oblikovanje okolij, v katerih se pričakovanja glede učenja nato manifestirajo v vedenje, rezultate in nagrajevanje zaposlenih (</w:t>
      </w:r>
      <w:proofErr w:type="spellStart"/>
      <w:r>
        <w:t>Marsick</w:t>
      </w:r>
      <w:proofErr w:type="spellEnd"/>
      <w:r>
        <w:t xml:space="preserve"> in </w:t>
      </w:r>
      <w:proofErr w:type="spellStart"/>
      <w:r>
        <w:t>Watkins</w:t>
      </w:r>
      <w:proofErr w:type="spellEnd"/>
      <w:r>
        <w:t>, 2003).  Ker so skupnosti prakse večinoma spontano nastale in samoorganizirane, lahko njihovo delovanje odraža vrednote, ki niso nujno skladne z uradno kulturo organizacije (</w:t>
      </w:r>
      <w:proofErr w:type="spellStart"/>
      <w:r>
        <w:t>Kimble</w:t>
      </w:r>
      <w:proofErr w:type="spellEnd"/>
      <w:r>
        <w:t xml:space="preserve"> in </w:t>
      </w:r>
      <w:proofErr w:type="spellStart"/>
      <w:r>
        <w:t>Hildreth</w:t>
      </w:r>
      <w:proofErr w:type="spellEnd"/>
      <w:r>
        <w:t>, 2004).  Skupnosti prakse kot princip spodbujanja učenja v organizaciji so torej namenjena predvsem organizacijam, ki so fleksibilne, odprte in katerih kultura se sklada z neformalno naravo skupnosti prakse.</w:t>
      </w:r>
    </w:p>
    <w:p w14:paraId="5A3FB666" w14:textId="77777777" w:rsidR="006A7445" w:rsidRDefault="006A7445">
      <w:pPr>
        <w:jc w:val="both"/>
      </w:pPr>
    </w:p>
    <w:p w14:paraId="59455E0B" w14:textId="77777777" w:rsidR="006A7445" w:rsidRDefault="00000000">
      <w:pPr>
        <w:ind w:left="720"/>
        <w:jc w:val="both"/>
      </w:pPr>
      <w:r>
        <w:rPr>
          <w:b/>
          <w:bCs/>
        </w:rPr>
        <w:t xml:space="preserve">4.3. KAKO METODO IZVEDEMO? </w:t>
      </w:r>
    </w:p>
    <w:p w14:paraId="5535A78F" w14:textId="77777777" w:rsidR="006A7445" w:rsidRDefault="00000000">
      <w:pPr>
        <w:jc w:val="both"/>
      </w:pPr>
      <w:r>
        <w:t xml:space="preserve">Skupnosti prakse predstavljajo specifičen učni pristop, ki se bistveno razlikuje od formalnih izobraževalnih modelov. </w:t>
      </w:r>
      <w:proofErr w:type="spellStart"/>
      <w:r>
        <w:t>Pyrko</w:t>
      </w:r>
      <w:proofErr w:type="spellEnd"/>
      <w:r>
        <w:t xml:space="preserve"> in sodelavci (2017) poudarjajo, da takšnih skupnosti ni mogoče preprosto »vzpostaviti«, saj temeljijo na postopnem gojenju odnosov, zaupanja in skupnega razmišljanja. Proces vključuje ustvarjanje priložnosti za izmenjavo izkušenj pri reševanju realnih problemov, spodbujanje medsebojnega angažiranja ter oblikovanje jedra članov, ki vzdržujejo kontinuiran dialog. Čeprav so skupnosti prakse primarno spontani fenomen, lahko organizacije pomembno prispevajo k njihovemu razvoju. Kot navajajo </w:t>
      </w:r>
      <w:proofErr w:type="spellStart"/>
      <w:r>
        <w:t>Manuti</w:t>
      </w:r>
      <w:proofErr w:type="spellEnd"/>
      <w:r>
        <w:t xml:space="preserve"> in sodelavci (2017), je ključno vzpostaviti ravnovesje med njihovo neformalno, samoorganizirano naravo ter formalno legitimacijo in prepoznavo, ki njihove prispevke vključuje v širšo organizacijsko strategijo. Pri tem je pomembno poudariti, da organizacija skupnosti prakse ne more vzpostaviti “od zgoraj navzdol”, ampak lahko le omogoča pogoje za njihov organski razvoj (</w:t>
      </w:r>
      <w:proofErr w:type="spellStart"/>
      <w:r>
        <w:t>Wenger</w:t>
      </w:r>
      <w:proofErr w:type="spellEnd"/>
      <w:r>
        <w:t xml:space="preserve"> in </w:t>
      </w:r>
      <w:proofErr w:type="spellStart"/>
      <w:r>
        <w:t>Snyder</w:t>
      </w:r>
      <w:proofErr w:type="spellEnd"/>
      <w:r>
        <w:t xml:space="preserve">, 2000). </w:t>
      </w:r>
    </w:p>
    <w:p w14:paraId="0669F172" w14:textId="77777777" w:rsidR="006A7445" w:rsidRDefault="00000000">
      <w:pPr>
        <w:spacing w:before="240" w:after="240"/>
        <w:jc w:val="both"/>
      </w:pPr>
      <w:proofErr w:type="spellStart"/>
      <w:r>
        <w:t>Manuti</w:t>
      </w:r>
      <w:proofErr w:type="spellEnd"/>
      <w:r>
        <w:t xml:space="preserve"> in sodelavci (2017) spontani nastanek skupnosti prakse opisujejo kot </w:t>
      </w:r>
      <w:proofErr w:type="spellStart"/>
      <w:r>
        <w:t>petfazni</w:t>
      </w:r>
      <w:proofErr w:type="spellEnd"/>
      <w:r>
        <w:t xml:space="preserve"> proces. V fazi </w:t>
      </w:r>
      <w:r>
        <w:rPr>
          <w:b/>
          <w:bCs/>
        </w:rPr>
        <w:t xml:space="preserve">potenciala </w:t>
      </w:r>
      <w:r>
        <w:t xml:space="preserve">se člani intenzivneje spoznavajo med sabo. Faza je ključna za </w:t>
      </w:r>
      <w:proofErr w:type="spellStart"/>
      <w:r>
        <w:t>začrtanje</w:t>
      </w:r>
      <w:proofErr w:type="spellEnd"/>
      <w:r>
        <w:t xml:space="preserve"> meja, virov in potencialov, ki opredeljujejo identiteto skupnosti. V tem obdobju je organizacijska podpora posebej pomembna, saj članom pomaga zaznati, da so del skupnega celote, da si delijo cilje in se lahko zanašajo na organizacijo. V fazi </w:t>
      </w:r>
      <w:r>
        <w:rPr>
          <w:b/>
          <w:bCs/>
        </w:rPr>
        <w:t>sodelovanja (kohezije)</w:t>
      </w:r>
      <w:r>
        <w:t xml:space="preserve"> člani začnejo raziskovati možne medosebne povezave, opredelijo skupno poslanstvo ter konkretno začnejo prepoznavati svoj potencial kot skupnost. V tej fazi morajo skupnosti posebno pozornost nameniti </w:t>
      </w:r>
      <w:r>
        <w:rPr>
          <w:i/>
          <w:iCs/>
        </w:rPr>
        <w:t>zaupanju</w:t>
      </w:r>
      <w:r>
        <w:t xml:space="preserve">, ki je </w:t>
      </w:r>
      <w:r>
        <w:lastRenderedPageBreak/>
        <w:t xml:space="preserve">eden od najtežje dosegljivih vidikov skupnosti prakse. V fazi </w:t>
      </w:r>
      <w:r>
        <w:rPr>
          <w:b/>
          <w:bCs/>
        </w:rPr>
        <w:t>aktivacije</w:t>
      </w:r>
      <w:r>
        <w:t xml:space="preserve"> se člani vključujejo v konkretni razvoj praks in dejavnosti, ustvarjanje artefaktov in skupnih repertoarjev. Povedano drugače, člani skupnosti v tej fazi razvijajo in delijo skupno osnovo znanja in vedenj, ki so koristna za spopadanje s spreminjajočimi se okoliščinami. Organizacija naj bi v tej fazi skupnost opazovala z določene razdalje, pri čemer naj članom omogoči občutek, da je njihovo delo dragoceno, hkrati pa jim pusti svobodo, da se izražajo in razvijajo v svojem tempu. V fazi </w:t>
      </w:r>
      <w:r>
        <w:rPr>
          <w:b/>
          <w:bCs/>
        </w:rPr>
        <w:t>razpršitve</w:t>
      </w:r>
      <w:r>
        <w:t xml:space="preserve"> člani izkazujejo manjšo zavezanost skupnosti. Kljub temu občutek povezanosti ostaja živ, kar se kaže v določenih ritualih sodelovanja, kot so izmenjava funkcionalnih informacij v občasnih srečanjih med člani skupnosti. Organizacije lahko v tem obdobju prispevajo k ohranjanju občutka skupnosti in izkoristijo neformalno sodelovanje, ki se bo verjetno nadaljevalo tudi po razpršitvi, za doseganje specifičnih organizacijskih ciljev. </w:t>
      </w:r>
      <w:r>
        <w:rPr>
          <w:b/>
          <w:bCs/>
        </w:rPr>
        <w:t>Spomin</w:t>
      </w:r>
      <w:r>
        <w:t xml:space="preserve"> je zadnja faza skupnosti, v kateri skupnost dejansko ne obstaja več, temveč živi v izkušnjah in spominu članov kot pomemben del njihove identitete. Čeprav skupnosti v tej fazi niso več aktivne, lahko organizacije izkoristijo njihov spomin za krepitev občutka pripadnosti in spodbujanje čustvene zavezanosti, ki je pogosto pomemben dejavnik uspešnosti. </w:t>
      </w:r>
    </w:p>
    <w:p w14:paraId="29604362" w14:textId="77777777" w:rsidR="006A7445" w:rsidRDefault="00000000">
      <w:pPr>
        <w:ind w:left="720"/>
        <w:jc w:val="both"/>
        <w:rPr>
          <w:b/>
          <w:bCs/>
        </w:rPr>
      </w:pPr>
      <w:r>
        <w:rPr>
          <w:b/>
          <w:bCs/>
        </w:rPr>
        <w:t xml:space="preserve">4.4.PRIMER UPORABE METODE </w:t>
      </w:r>
    </w:p>
    <w:p w14:paraId="6D05DD71" w14:textId="77777777" w:rsidR="006A7445" w:rsidRDefault="00000000">
      <w:pPr>
        <w:spacing w:before="240" w:after="240"/>
        <w:jc w:val="both"/>
      </w:pPr>
      <w:r>
        <w:t>Skupnosti prakse so bile uporabljene v projektu ACT (</w:t>
      </w:r>
      <w:proofErr w:type="spellStart"/>
      <w:r>
        <w:t>Communities</w:t>
      </w:r>
      <w:proofErr w:type="spellEnd"/>
      <w:r>
        <w:t xml:space="preserve"> </w:t>
      </w:r>
      <w:proofErr w:type="spellStart"/>
      <w:r>
        <w:t>of</w:t>
      </w:r>
      <w:proofErr w:type="spellEnd"/>
      <w:r>
        <w:t xml:space="preserve"> </w:t>
      </w:r>
      <w:proofErr w:type="spellStart"/>
      <w:r>
        <w:t>PrACTice</w:t>
      </w:r>
      <w:proofErr w:type="spellEnd"/>
      <w:r>
        <w:t xml:space="preserve"> </w:t>
      </w:r>
      <w:proofErr w:type="spellStart"/>
      <w:r>
        <w:t>for</w:t>
      </w:r>
      <w:proofErr w:type="spellEnd"/>
      <w:r>
        <w:t xml:space="preserve"> </w:t>
      </w:r>
      <w:proofErr w:type="spellStart"/>
      <w:r>
        <w:t>Accelerating</w:t>
      </w:r>
      <w:proofErr w:type="spellEnd"/>
      <w:r>
        <w:t xml:space="preserve"> </w:t>
      </w:r>
      <w:proofErr w:type="spellStart"/>
      <w:r>
        <w:t>Gender</w:t>
      </w:r>
      <w:proofErr w:type="spellEnd"/>
      <w:r>
        <w:t xml:space="preserve"> </w:t>
      </w:r>
      <w:proofErr w:type="spellStart"/>
      <w:r>
        <w:t>Equality</w:t>
      </w:r>
      <w:proofErr w:type="spellEnd"/>
      <w:r>
        <w:t xml:space="preserve"> </w:t>
      </w:r>
      <w:proofErr w:type="spellStart"/>
      <w:r>
        <w:t>and</w:t>
      </w:r>
      <w:proofErr w:type="spellEnd"/>
      <w:r>
        <w:t xml:space="preserve"> </w:t>
      </w:r>
      <w:proofErr w:type="spellStart"/>
      <w:r>
        <w:t>Institutional</w:t>
      </w:r>
      <w:proofErr w:type="spellEnd"/>
      <w:r>
        <w:t xml:space="preserve"> </w:t>
      </w:r>
      <w:proofErr w:type="spellStart"/>
      <w:r>
        <w:t>Change</w:t>
      </w:r>
      <w:proofErr w:type="spellEnd"/>
      <w:r>
        <w:t xml:space="preserve"> in </w:t>
      </w:r>
      <w:proofErr w:type="spellStart"/>
      <w:r>
        <w:t>Research</w:t>
      </w:r>
      <w:proofErr w:type="spellEnd"/>
      <w:r>
        <w:t xml:space="preserve"> </w:t>
      </w:r>
      <w:proofErr w:type="spellStart"/>
      <w:r>
        <w:t>and</w:t>
      </w:r>
      <w:proofErr w:type="spellEnd"/>
      <w:r>
        <w:t xml:space="preserve"> </w:t>
      </w:r>
      <w:proofErr w:type="spellStart"/>
      <w:r>
        <w:t>Innovation</w:t>
      </w:r>
      <w:proofErr w:type="spellEnd"/>
      <w:r>
        <w:t xml:space="preserve"> </w:t>
      </w:r>
      <w:proofErr w:type="spellStart"/>
      <w:r>
        <w:t>across</w:t>
      </w:r>
      <w:proofErr w:type="spellEnd"/>
      <w:r>
        <w:t xml:space="preserve"> </w:t>
      </w:r>
      <w:proofErr w:type="spellStart"/>
      <w:r>
        <w:t>Europe</w:t>
      </w:r>
      <w:proofErr w:type="spellEnd"/>
      <w:r>
        <w:t xml:space="preserve">). Ta je potekal v okviru programa </w:t>
      </w:r>
      <w:proofErr w:type="spellStart"/>
      <w:r>
        <w:t>Horizon</w:t>
      </w:r>
      <w:proofErr w:type="spellEnd"/>
      <w:r>
        <w:t xml:space="preserve"> 2020, njegov namen pa je bil pospeševanje enakosti spolov ter spodbujanje institucionalnih sprememb v raziskovalnih in visokošolskih institucijah. V projektu, ki je potekal med leti 2018 in 2021, je sodelovalo 17 institucij iz 11 držav, med njimi tudi slovenski ZRC SAZU. Vzpostavitev in delovanje skupnosti prakse v okviru projekta ACT je predstavljalo osrednji mehanizem za spodbujanje institucionalnih sprememb ter pospeševanje implementacije načrtov za enakost spolov. Poudarek je bil predvsem na odpravi institucionalnih ovir povezanih s spolom pri kariernem razvoju, zmanjševanje pristranskosti pri odločanju ter vključevanje spolne dimenzije v raziskovalne in izobraževalne vsebine (vse našteto torej predstavlja </w:t>
      </w:r>
      <w:r>
        <w:rPr>
          <w:i/>
          <w:iCs/>
        </w:rPr>
        <w:t>domeno</w:t>
      </w:r>
      <w:r>
        <w:t xml:space="preserve"> skupnosti prakse v dotičnem primeru). Hkrati so skupnosti predstavljale instrument za obvladovanje odpora do uvajanja sprememb, saj so temeljile na aktivnem vključevanju, sodelovanju in gradnji skupnostnih zavez. Skupnosti prakse so delovale kot platforme za vzajemno učenje, izmenjavo znanja in izkušenj na področju implementiranja načel enakosti spolov. Člani (šlo je za mednarodne skupnosti prakse, saj so sodelovale institucije iz celotne Evrope) so si izmenjevali izkušnje, prakse in ideje ter s tem prispevali k oblikovanju skupnega repertoarja virov, ki je obsegal koncepte, metode, orodja ter različne oblike formalnega in neformalnega znanja. Posebej pomembno je bilo generiranje novega znanja in skupnostno reševanje problemov. Vzpostavljanje medsebojnega zaupanja, spoštovanja in varnega prostora za kritično diskusijo je bilo ključno za poglobljeno učenje in razvoj inovativnih pristopov. Ker so v tem primeru skupnosti pridobile mednarodne razsežnosti, je večina komunikacije med člani potekala v </w:t>
      </w:r>
      <w:proofErr w:type="spellStart"/>
      <w:r>
        <w:t>online</w:t>
      </w:r>
      <w:proofErr w:type="spellEnd"/>
      <w:r>
        <w:t xml:space="preserve"> prostorih, oblikovano pa je bilo tudi spletno središče, ki je bilo namenjeno deljenju datotek, vodenju anket in organizaciji virtualnih srečanj. </w:t>
      </w:r>
    </w:p>
    <w:p w14:paraId="150D25E6" w14:textId="77777777" w:rsidR="006A7445" w:rsidRDefault="00000000">
      <w:pPr>
        <w:spacing w:before="240" w:after="240"/>
        <w:jc w:val="both"/>
      </w:pPr>
      <w:r>
        <w:t xml:space="preserve">V okviru projekta in skupnosti praks znotraj njega je tako nastal obsežen nabor podpornih orodij in participativnih metod, ki so omogočale timsko delo, generiranje idej, doseganje konsenza ter učinkovito načrtovanje in izvajanje načrta enakosti spolov v vsaki posamični sodelujoči </w:t>
      </w:r>
      <w:r>
        <w:lastRenderedPageBreak/>
        <w:t>organizaciji. Poleg tega so člani skupnosti prakse imeli dostop do standardiziranih orodij za spremljanje napredka, in sicer vprašalnik GEAM (</w:t>
      </w:r>
      <w:proofErr w:type="spellStart"/>
      <w:r>
        <w:t>Gender</w:t>
      </w:r>
      <w:proofErr w:type="spellEnd"/>
      <w:r>
        <w:t xml:space="preserve"> </w:t>
      </w:r>
      <w:proofErr w:type="spellStart"/>
      <w:r>
        <w:t>Equality</w:t>
      </w:r>
      <w:proofErr w:type="spellEnd"/>
      <w:r>
        <w:t xml:space="preserve"> </w:t>
      </w:r>
      <w:proofErr w:type="spellStart"/>
      <w:r>
        <w:t>Audit</w:t>
      </w:r>
      <w:proofErr w:type="spellEnd"/>
      <w:r>
        <w:t xml:space="preserve"> </w:t>
      </w:r>
      <w:proofErr w:type="spellStart"/>
      <w:r>
        <w:t>and</w:t>
      </w:r>
      <w:proofErr w:type="spellEnd"/>
      <w:r>
        <w:t xml:space="preserve"> Monitoring </w:t>
      </w:r>
      <w:proofErr w:type="spellStart"/>
      <w:r>
        <w:t>Tool</w:t>
      </w:r>
      <w:proofErr w:type="spellEnd"/>
      <w:r>
        <w:t xml:space="preserve">). S tem je bil omogočen primerljiv, podatkovno podprt pristop k presoji stanja in načrtovanju ukrepov. Projekt si je prizadeval preseči posamičnost skupnosti z oblikovanjem evropske mreže skupnosti prakse. Ta naj bi predstavljala mehanizem za sinhronizacijo prizadevanj na področju enakosti spolov, krepitev strokovne skupnosti ter pospeševanje širšega usklajevanja politik enakosti spolov v evropskem raziskovalnem prostoru. Sodelujoči so v okviru tega prizadevanja želeli identificirati že obstoječe mreže oziroma skupine v evropskem prostoru (ki niso bile vključene v projekt), ki bi lahko predstavljale stičišča različnih skupnosti prakse v prihodnosti. Na ta način so skupnosti prakse znotraj projekta ACT postale tudi orodje za vključevanje organizacij, ki pred tem niso razvijale načrta enakosti spolov, a so izrazile pripravljenost za delovanje na tem področju </w:t>
      </w:r>
      <w:r>
        <w:rPr>
          <w:highlight w:val="white"/>
        </w:rPr>
        <w:t>(</w:t>
      </w:r>
      <w:proofErr w:type="spellStart"/>
      <w:r>
        <w:rPr>
          <w:highlight w:val="white"/>
        </w:rPr>
        <w:t>Aldercote</w:t>
      </w:r>
      <w:proofErr w:type="spellEnd"/>
      <w:r>
        <w:rPr>
          <w:highlight w:val="white"/>
        </w:rPr>
        <w:t xml:space="preserve"> idr., 2019; </w:t>
      </w:r>
      <w:proofErr w:type="spellStart"/>
      <w:r>
        <w:rPr>
          <w:highlight w:val="white"/>
        </w:rPr>
        <w:t>Palmen</w:t>
      </w:r>
      <w:proofErr w:type="spellEnd"/>
      <w:r>
        <w:rPr>
          <w:highlight w:val="white"/>
        </w:rPr>
        <w:t xml:space="preserve"> idr., 2019; </w:t>
      </w:r>
      <w:proofErr w:type="spellStart"/>
      <w:r>
        <w:rPr>
          <w:highlight w:val="white"/>
        </w:rPr>
        <w:t>Reidl</w:t>
      </w:r>
      <w:proofErr w:type="spellEnd"/>
      <w:r>
        <w:rPr>
          <w:highlight w:val="white"/>
        </w:rPr>
        <w:t xml:space="preserve"> idr., 2019; Thomson idr., 2022; Thomson in </w:t>
      </w:r>
      <w:proofErr w:type="spellStart"/>
      <w:r>
        <w:rPr>
          <w:highlight w:val="white"/>
        </w:rPr>
        <w:t>Rabsch</w:t>
      </w:r>
      <w:proofErr w:type="spellEnd"/>
      <w:r>
        <w:rPr>
          <w:highlight w:val="white"/>
        </w:rPr>
        <w:t>, 2019).</w:t>
      </w:r>
    </w:p>
    <w:p w14:paraId="3473A71F" w14:textId="77777777" w:rsidR="006A7445" w:rsidRDefault="00000000">
      <w:pPr>
        <w:numPr>
          <w:ilvl w:val="0"/>
          <w:numId w:val="1"/>
        </w:numPr>
        <w:jc w:val="both"/>
        <w:rPr>
          <w:b/>
          <w:bCs/>
        </w:rPr>
      </w:pPr>
      <w:r>
        <w:rPr>
          <w:b/>
          <w:bCs/>
        </w:rPr>
        <w:t>VLOGA PSIHOLOGA</w:t>
      </w:r>
    </w:p>
    <w:p w14:paraId="53DF1D70" w14:textId="77777777" w:rsidR="006A7445" w:rsidRDefault="00000000">
      <w:pPr>
        <w:jc w:val="both"/>
      </w:pPr>
      <w:r>
        <w:t xml:space="preserve">V literaturi, ki obravnava skupnosti prakse, vloga psihologa pogosto sicer ni eksplicitno izpostavljena, a ta lahko s svojimi specifičnimi strokovnimi znanji doprinese k njihovi implementaciji v delovnih organizacijah. Lisa </w:t>
      </w:r>
      <w:proofErr w:type="spellStart"/>
      <w:r>
        <w:t>Hunter</w:t>
      </w:r>
      <w:proofErr w:type="spellEnd"/>
      <w:r>
        <w:t xml:space="preserve"> in sodelavci (2014) opisujejo, da kadrovski strokovnjak (lahko tudi psiholog) lahko v okviru skupnosti praks zavzema dve različni vlogi. Po eni strani lahko deluje v vlogi člana skupnosti prakse, sploh če se njihova domena osredotoča na področje psihološke stroke. Tako lahko psiholog na primer aktivno sodeluje v vajah, usmerjenih v razvoj terapevtskih veščin (če je to osrednji namen skupnosti). V tem okviru prispeva svoje strokovno znanje, izkušnje in ideje ter sooblikuje varno in spodbudno učno okolje, v katerem se spodbuja radovednost in refleksija namesto kritike ali dajanja neposrednih nasvetov. Po drugi strani pa lahko psiholog deluje v vlogi podpornega vira zunaj in nastopa kot oseba zunaj skupine, ki nudi strokovno podporo in deluje kot svetovalec. V to vlogo stopi predvsem takrat, ko skupina naleti na napetosti, dileme ali odločitve, ki jih sama ne zmore ustrezno razrešiti.</w:t>
      </w:r>
    </w:p>
    <w:p w14:paraId="31792EF9" w14:textId="77777777" w:rsidR="006A7445" w:rsidRDefault="006A7445">
      <w:pPr>
        <w:jc w:val="both"/>
      </w:pPr>
    </w:p>
    <w:p w14:paraId="110BE5C5" w14:textId="77777777" w:rsidR="006A7445" w:rsidRDefault="00000000">
      <w:pPr>
        <w:jc w:val="both"/>
      </w:pPr>
      <w:r>
        <w:t>Za uspešno delovanje skupnosti praks je zaželeno, da organizacije sistematično preučujejo, kako se skupnosti prakse pojavljajo v njihovem kontekstu, kako se razvijajo ter na kakšne načine lahko njihov razvoj najbolje podprejo. Na ta način lahko postanejo ključni element organizacijskega učenja, inoviranja in krepitve strateških zmožnosti podjetja (</w:t>
      </w:r>
      <w:proofErr w:type="spellStart"/>
      <w:r>
        <w:t>Wenger</w:t>
      </w:r>
      <w:proofErr w:type="spellEnd"/>
      <w:r>
        <w:t xml:space="preserve"> in </w:t>
      </w:r>
      <w:proofErr w:type="spellStart"/>
      <w:r>
        <w:t>Snyder</w:t>
      </w:r>
      <w:proofErr w:type="spellEnd"/>
      <w:r>
        <w:t xml:space="preserve">, 2011), pri čemer ima lahko pomembno vlogo tudi psiholog. </w:t>
      </w:r>
    </w:p>
    <w:p w14:paraId="107A6BD8" w14:textId="77777777" w:rsidR="006A7445" w:rsidRDefault="006A7445">
      <w:pPr>
        <w:jc w:val="both"/>
      </w:pPr>
    </w:p>
    <w:p w14:paraId="4387F690" w14:textId="3B5E23CA" w:rsidR="006A7445" w:rsidRDefault="00000000">
      <w:pPr>
        <w:jc w:val="both"/>
      </w:pPr>
      <w:r>
        <w:t>Temu bi dodala še nekaj področij, kjer psiholog lahko pripomore s svojim strokovnim znanjem. V prvi vrsti lahko v organizaciji pomaga identificirati pojavljanje skupnosti prakse in nanje opozarja vodstvo organizacije. Obenem se lahko zavzema za varno in spodbudno okolje za njihov nastanek (na primer prek promoviranja pozitivnih učinkov skupnosti prakse in opozarjanja na njihov pomen za učinkovito prenašanje organizacijskega znanja in občutka pripadnosti organizaciji s strani zaposlenih). Če se spomnimo faz formacije skupnosti prakse iz poglavja 4.3 (</w:t>
      </w:r>
      <w:proofErr w:type="spellStart"/>
      <w:r>
        <w:t>Manuti</w:t>
      </w:r>
      <w:proofErr w:type="spellEnd"/>
      <w:r>
        <w:t xml:space="preserve"> idr., 2017), psiholog lahko v fazi potenciala pomaga krepiti zavedanje o pripadnosti organizaciji kot skupnosti, v fazi sodelovanja pa spodbuja razvoj </w:t>
      </w:r>
      <w:proofErr w:type="spellStart"/>
      <w:r>
        <w:t>medosebega</w:t>
      </w:r>
      <w:proofErr w:type="spellEnd"/>
      <w:r>
        <w:t xml:space="preserve"> zaupanja med člani skupnosti. To je še posebej zahtevna naloga v sodobnih organizacijah, kjer delovne skupine nastajajo in razpadajo zelo hitro zaradi pospešenega tempa dela in hitro spreminjajočih se </w:t>
      </w:r>
      <w:r>
        <w:lastRenderedPageBreak/>
        <w:t xml:space="preserve">organizacijskih ciljev. V fazi aktivacije psiholog lahko na eni strani usmeri pozornost organizacije na skupnost in njeno uspešnost, po drugi strani pa članom tudi sam daje občutek, da je njihovo delo vredno in cenjeno. Fazi razpršitve in spomina pa psiholog lahko uporabi za krepitev občutka pripadnosti posameznikov organizaciji. </w:t>
      </w:r>
    </w:p>
    <w:p w14:paraId="520ADBE3" w14:textId="77777777" w:rsidR="006A7445" w:rsidRDefault="006A7445">
      <w:pPr>
        <w:jc w:val="both"/>
      </w:pPr>
    </w:p>
    <w:p w14:paraId="05A26AAF" w14:textId="77777777" w:rsidR="006A7445" w:rsidRDefault="00000000">
      <w:pPr>
        <w:numPr>
          <w:ilvl w:val="0"/>
          <w:numId w:val="1"/>
        </w:numPr>
        <w:jc w:val="both"/>
        <w:rPr>
          <w:b/>
          <w:bCs/>
        </w:rPr>
      </w:pPr>
      <w:r>
        <w:rPr>
          <w:b/>
          <w:bCs/>
        </w:rPr>
        <w:t xml:space="preserve">PREDNOSTI IN OMEJITVE PRI UPORABI METODE </w:t>
      </w:r>
    </w:p>
    <w:p w14:paraId="42E37F89" w14:textId="77777777" w:rsidR="006A7445" w:rsidRDefault="006A7445">
      <w:pPr>
        <w:jc w:val="both"/>
        <w:rPr>
          <w:b/>
          <w:bCs/>
        </w:rPr>
      </w:pPr>
    </w:p>
    <w:p w14:paraId="2CA07AF2" w14:textId="77777777" w:rsidR="006A7445" w:rsidRDefault="00000000">
      <w:pPr>
        <w:jc w:val="both"/>
        <w:rPr>
          <w:b/>
          <w:bCs/>
          <w:i/>
          <w:iCs/>
          <w:u w:val="single"/>
        </w:rPr>
      </w:pPr>
      <w:r>
        <w:rPr>
          <w:b/>
          <w:bCs/>
          <w:i/>
          <w:iCs/>
          <w:u w:val="single"/>
        </w:rPr>
        <w:t>Prednosti</w:t>
      </w:r>
    </w:p>
    <w:p w14:paraId="23995707" w14:textId="77777777" w:rsidR="006A7445" w:rsidRDefault="00000000">
      <w:pPr>
        <w:jc w:val="both"/>
      </w:pPr>
      <w:r>
        <w:t xml:space="preserve">Skupnosti prakse omogočajo, da praktiki prevzamejo kolektivno odgovornost za znanje v organizaciji, saj s svojim sodelovanjem neposredno povezujejo učenje z vedenjem. Isti posamezniki, ki razpravljajo o izzivih v skupnosti, so tudi tisti, ki znanje uporabljajo v konkretnih delovnih procesih. Takšna struktura omogoča obravnavo tako </w:t>
      </w:r>
      <w:proofErr w:type="spellStart"/>
      <w:r>
        <w:t>tacitnih</w:t>
      </w:r>
      <w:proofErr w:type="spellEnd"/>
      <w:r>
        <w:t xml:space="preserve"> in dinamičnih kot tudi eksplicitnih vidikov ustvarjanja, deljenja in uporabe znanja. Ker skupnosti prakse niso omejene s formalnimi organizacijskimi strukturami, omogočajo globalno in </w:t>
      </w:r>
      <w:proofErr w:type="spellStart"/>
      <w:r>
        <w:t>medorganizacijsko</w:t>
      </w:r>
      <w:proofErr w:type="spellEnd"/>
      <w:r>
        <w:t xml:space="preserve"> povezovanje ter ustvarjajo prostore, kjer se lahko oblikujejo povsem nove kombinacije znanj in izkušenj (</w:t>
      </w:r>
      <w:proofErr w:type="spellStart"/>
      <w:r>
        <w:t>Wenger</w:t>
      </w:r>
      <w:proofErr w:type="spellEnd"/>
      <w:r>
        <w:t>, 2011). Z organizacijskega vidika imajo skupnosti prakse izrazito strateško vrednost. Podpirajo usmerjanje organizacijske strategije, pospešujejo poslovne inovacije, omogočajo hitrejše in učinkovitejše reševanje problemov ter olajšujejo prenos najboljših praks. Poleg tega omogočajo obravnavo kompleksnih, nestrukturiranih problemov in izmenjavo znanja zunaj formalnih meja organizacije (primer projekta ACT) (</w:t>
      </w:r>
      <w:proofErr w:type="spellStart"/>
      <w:r>
        <w:t>Hunter</w:t>
      </w:r>
      <w:proofErr w:type="spellEnd"/>
      <w:r>
        <w:t xml:space="preserve"> idr., 2014)</w:t>
      </w:r>
    </w:p>
    <w:p w14:paraId="4CAC7B76" w14:textId="77777777" w:rsidR="006A7445" w:rsidRDefault="006A7445">
      <w:pPr>
        <w:jc w:val="both"/>
      </w:pPr>
    </w:p>
    <w:p w14:paraId="1009487E" w14:textId="77777777" w:rsidR="006A7445" w:rsidRDefault="00000000">
      <w:pPr>
        <w:jc w:val="both"/>
      </w:pPr>
      <w:r>
        <w:t xml:space="preserve">Sodelovanje v </w:t>
      </w:r>
      <w:proofErr w:type="spellStart"/>
      <w:r>
        <w:t>skupnsotih</w:t>
      </w:r>
      <w:proofErr w:type="spellEnd"/>
      <w:r>
        <w:t xml:space="preserve"> prakse članom omogoča, da se prepoznajo kot aktivni soustvarjalci organizacije in v skupno delo vložijo svoje osebne vire, kar krepi občutek pripadnosti in odgovornosti (</w:t>
      </w:r>
      <w:proofErr w:type="spellStart"/>
      <w:r>
        <w:t>Wenger</w:t>
      </w:r>
      <w:proofErr w:type="spellEnd"/>
      <w:r>
        <w:t xml:space="preserve">, 1998; </w:t>
      </w:r>
      <w:proofErr w:type="spellStart"/>
      <w:r>
        <w:t>Manuti</w:t>
      </w:r>
      <w:proofErr w:type="spellEnd"/>
      <w:r>
        <w:t xml:space="preserve"> idr., 2017). Lisa </w:t>
      </w:r>
      <w:proofErr w:type="spellStart"/>
      <w:r>
        <w:t>Hunter</w:t>
      </w:r>
      <w:proofErr w:type="spellEnd"/>
      <w:r>
        <w:t xml:space="preserve"> in sodelavci (2014) poudarjajo, da skupnosti prakse pomembno prispevajo k trajnosti učenja, saj preprečujejo, da bi se veščine po zaključenih usposabljanjih izgubile. S stalno vadbo, refleksijo in pregledom prakse poglabljajo strokovno znanje ter omogočajo kontinuiran profesionalni razvoj. Njihov </w:t>
      </w:r>
      <w:proofErr w:type="spellStart"/>
      <w:r>
        <w:t>medvrstniško</w:t>
      </w:r>
      <w:proofErr w:type="spellEnd"/>
      <w:r>
        <w:t xml:space="preserve"> voden značaj spodbuja kolektivno lastništvo in ustvarjalnost, varno učno okolje pa temelji na dogovorih o zaupnosti, spoštovanju in podpori. Člani se lahko preizkušajo v novih, pogosto ranljivih vidikih svojega dela, brez strahu pred kritiko, kar povečuje kakovost učenja in pripravljenost na spremembe. Med ključnimi prednostmi so še sposobnost učinkovitega deljenja implicitnega znanja, krepitev strokovne kompetentnosti in profesionalne identitete ter premoščanje organizacijskih meja, kar omogoča oblikovanje trajnostnih učnih omrežij (</w:t>
      </w:r>
      <w:proofErr w:type="spellStart"/>
      <w:r>
        <w:t>Pyrko</w:t>
      </w:r>
      <w:proofErr w:type="spellEnd"/>
      <w:r>
        <w:t xml:space="preserve"> idr., 2017). </w:t>
      </w:r>
    </w:p>
    <w:p w14:paraId="4F2ECF75" w14:textId="77777777" w:rsidR="006A7445" w:rsidRDefault="006A7445">
      <w:pPr>
        <w:jc w:val="both"/>
      </w:pPr>
    </w:p>
    <w:p w14:paraId="51D9927F" w14:textId="77777777" w:rsidR="006A7445" w:rsidRDefault="00000000">
      <w:pPr>
        <w:jc w:val="both"/>
        <w:rPr>
          <w:b/>
          <w:bCs/>
          <w:i/>
          <w:iCs/>
          <w:u w:val="single"/>
        </w:rPr>
      </w:pPr>
      <w:r>
        <w:rPr>
          <w:b/>
          <w:bCs/>
          <w:i/>
          <w:iCs/>
          <w:u w:val="single"/>
        </w:rPr>
        <w:t>Omejitve in izzivi</w:t>
      </w:r>
    </w:p>
    <w:p w14:paraId="22D5E78F" w14:textId="77777777" w:rsidR="006A7445" w:rsidRDefault="00000000">
      <w:pPr>
        <w:jc w:val="both"/>
      </w:pPr>
      <w:r>
        <w:t xml:space="preserve">Kljub številnim prednostim se skupnosti prakse soočajo z raznovrstnimi izzivi, ki lahko zmanjšajo njihovo učinkovitost in ogrozijo njihovo vlogo pri upravljanju znanja. Eden ključnih problemov je tveganje, da skupina postopoma nazaduje v klasičen format formalnih sestankov, kjer ena oseba prevzame odgovornost za učenje drugih. Takšna </w:t>
      </w:r>
      <w:proofErr w:type="spellStart"/>
      <w:r>
        <w:t>hierarhizirana</w:t>
      </w:r>
      <w:proofErr w:type="spellEnd"/>
      <w:r>
        <w:t xml:space="preserve"> struktura oslabi </w:t>
      </w:r>
      <w:proofErr w:type="spellStart"/>
      <w:r>
        <w:t>medvrstniško</w:t>
      </w:r>
      <w:proofErr w:type="spellEnd"/>
      <w:r>
        <w:t xml:space="preserve"> dinamiko, ki je bistvena za učenje v okviru skupnosti praks. Da bi ohranili enakovrednost in preprečili koncentracijo moči oziroma avtoritete v eni osebi, </w:t>
      </w:r>
      <w:proofErr w:type="spellStart"/>
      <w:r>
        <w:t>Hunter</w:t>
      </w:r>
      <w:proofErr w:type="spellEnd"/>
      <w:r>
        <w:t xml:space="preserve"> in sodelavci (2014) predlagajo rotacije vlog na sestankih skupnosti (na primer kdo moderira debato). Poleg tega lahko skupnosti, ki delujejo izključno na podlagi samoorganizacije, postopoma izgubijo fokus, zato je občasna </w:t>
      </w:r>
      <w:r>
        <w:lastRenderedPageBreak/>
        <w:t xml:space="preserve">prisotnost usposobljenega zunanjega opazovalca (lahko tudi psihologa) priporočljiva za ohranjanje strukture in namena. </w:t>
      </w:r>
    </w:p>
    <w:p w14:paraId="03210F20" w14:textId="77777777" w:rsidR="006A7445" w:rsidRDefault="006A7445">
      <w:pPr>
        <w:jc w:val="both"/>
      </w:pPr>
    </w:p>
    <w:p w14:paraId="264DFE9E" w14:textId="77777777" w:rsidR="006A7445" w:rsidRDefault="00000000">
      <w:pPr>
        <w:jc w:val="both"/>
      </w:pPr>
      <w:r>
        <w:t xml:space="preserve">Organizacijski izzivi uporabe skupnosti praks kot metode prenosa znanja izhajajo tudi iz napetosti med avtonomno, neformalno naravo skupnosti ter tradicionalnimi hierarhičnimi strukturami organizacij, kar zahteva skrbno uravnoteženje med neodvisnostjo skupnosti in njenim vključevanjem v širše okolje. Učinki skupnosti praks so torej v veliki meri odvisni od širšega institucionalnega konteksta in stopnje odprtosti organizacije za tovrstno obliko prenašanja organizacijskega znanja. Nenaklonjenost organizacij za uporabo skupnosti prakse pa se lahko pojavi tudi iz instrumentalnih razlogov. Majhna in srednje velika podjetja pogosto nimajo dovolj virov za njihovo spodbujanje, poleg tega pa implementacija skupnosti prakse zahteva veliko časa, česar v sodobnem času v delovnih okoljih pogosto primanjkuje bolj kot instrumentalnih virov (Roberts, 2006). </w:t>
      </w:r>
    </w:p>
    <w:p w14:paraId="192DAB86" w14:textId="77777777" w:rsidR="006A7445" w:rsidRDefault="006A7445">
      <w:pPr>
        <w:jc w:val="both"/>
      </w:pPr>
    </w:p>
    <w:p w14:paraId="081A0009" w14:textId="77777777" w:rsidR="006A7445" w:rsidRDefault="00000000">
      <w:pPr>
        <w:jc w:val="both"/>
      </w:pPr>
      <w:r>
        <w:t>Ovire pri uporabi skupnosti prakse se lahko pojavijo tudi na ravni posameznika. Kot je bilo omenjeno že v predstavitvi metode, skupnosti prakse od posameznikov zahtevajo veliko mero samoiniciativnosti, motiviranosti in pripravljenosti na deljenje lastnih izkušenj, znanja in perspektiv širši skupini ljudi. Določenim posameznikom lahko torej sodelovanje v skupnostih prakse pomeni dodaten vir obremenitev v prenatrpanem delovnem času, po drugi strani pa določenim posameznikom v individualističnih družbah kolektivno ustvarjanje in deljenje znanja ne pomeni dovolj, da bi se samoorganizirali v skupnosti prakse (</w:t>
      </w:r>
      <w:proofErr w:type="spellStart"/>
      <w:r>
        <w:t>Manuti</w:t>
      </w:r>
      <w:proofErr w:type="spellEnd"/>
      <w:r>
        <w:t xml:space="preserve"> idr., 2017).</w:t>
      </w:r>
    </w:p>
    <w:p w14:paraId="68801044" w14:textId="77777777" w:rsidR="006A7445" w:rsidRDefault="006A7445">
      <w:pPr>
        <w:jc w:val="both"/>
      </w:pPr>
    </w:p>
    <w:p w14:paraId="13FCE6FC" w14:textId="77777777" w:rsidR="006A7445" w:rsidRDefault="006A7445">
      <w:pPr>
        <w:jc w:val="both"/>
      </w:pPr>
    </w:p>
    <w:p w14:paraId="683602B3" w14:textId="77777777" w:rsidR="006A7445" w:rsidRDefault="00000000">
      <w:pPr>
        <w:numPr>
          <w:ilvl w:val="0"/>
          <w:numId w:val="1"/>
        </w:numPr>
        <w:jc w:val="both"/>
        <w:rPr>
          <w:b/>
          <w:bCs/>
        </w:rPr>
      </w:pPr>
      <w:r>
        <w:rPr>
          <w:b/>
          <w:bCs/>
        </w:rPr>
        <w:t>MOJ POGLED NA METODO</w:t>
      </w:r>
    </w:p>
    <w:p w14:paraId="7B126CDB" w14:textId="77777777" w:rsidR="006A7445" w:rsidRDefault="00000000">
      <w:pPr>
        <w:spacing w:before="240" w:after="240"/>
        <w:jc w:val="both"/>
      </w:pPr>
      <w:r>
        <w:t>Metoda skupnosti prakse temelji na ideji, da se učenje ne dogaja le kot individualno pridobivanje znanja, temveč kot družbeni proces, ki poteka v okviru skupnosti, kjer posamezniki s skupnimi interesi, izkušnjami in cilji ustvarjajo ter izmenjujejo znanje. V tem smislu skupnost prakse poudarja pomen sodelovanja, izkušenj in refleksije pri učenju ter zavrača linearno, individualistično razumevanje izobraževanja. Takšno poudarjanje skupnosti v kontekstu organizacij se mi zdi izrednega pomena, predvsem v luči vse večje individualizacije kariernih poti posameznikov in posameznic. Kljub temu pa vidim v metodi oziroma pristopu skupnosti praks nekaj pasti (poleg že zgoraj navedenih pomanjkljivosti metode). Na prvi pogled se zdi, da pristop s svojo usmerjenostjo k sodelovanju, izmenjavi in skupnemu ustvarjanju znanja ponuja alternativo prevladujočim individualističnim in kompetenčno naravnanim pristopom k učenju (v kontekstu delovnih organizacij). Vendar uporaba metode v kontekstu neoliberalne družbe znanja lahko sama začne delovati znotraj ekonomskih in ideoloških okvirjev, ki naj bi jih sicer pristop, ki se osredotoča na kolektivnost, presegal. V sodobnih politikah in praksah organizacij obstaja nevarnost, da metoda skupnosti prakse postane zgolj instrument za izboljšanje organizacijske učinkovitosti, inovativnosti in konkurenčnost.  Znanje, ki nastaja v skupnosti, tako ni več skupna dobrina njenih članov, temveč postane kapital podjetja. Člani skupnosti so tako vključeni v procese neplačanega ustvarjanja dodane vrednosti, pri čemer se kolektivno učenje podredi logiki tržne uporabnosti in merljivih rezultatov (</w:t>
      </w:r>
      <w:proofErr w:type="spellStart"/>
      <w:r>
        <w:t>Barros</w:t>
      </w:r>
      <w:proofErr w:type="spellEnd"/>
      <w:r>
        <w:t>, 2012).</w:t>
      </w:r>
    </w:p>
    <w:p w14:paraId="0CE719FA" w14:textId="77777777" w:rsidR="006A7445" w:rsidRDefault="00000000">
      <w:pPr>
        <w:spacing w:before="240" w:after="240"/>
        <w:jc w:val="both"/>
      </w:pPr>
      <w:r>
        <w:lastRenderedPageBreak/>
        <w:t xml:space="preserve">Ob ustrezni in sprotni refleksiji uporabe skupnosti prakse v organizacijah vseeno vidim priložnost za gojenje kolektivnega duha, znanja in občutka pripadnosti med člani skupnosti. Kot poudarja </w:t>
      </w:r>
      <w:proofErr w:type="spellStart"/>
      <w:r>
        <w:t>Ropes</w:t>
      </w:r>
      <w:proofErr w:type="spellEnd"/>
      <w:r>
        <w:t xml:space="preserve"> (2006), članstvo v skupnosti prakse lahko postane pomembna stalnica v življenju določenih delavcev, sploh v času nenehnih kariernih in organizacijskih sprememb. Skupnosti prakse lahko obstajajo neodvisno od poslovnih organizacij in prevzemajo vse pomembnejšo vlogo pri ustvarjanju in prenosu znanja. Tudi ko je cilj dosežen in se člani razpršijo, še vedno ostajajo del skupnosti. Ob zadostni odprtosti in podpori organizacije tako lahko predstavljajo prostor kolektivne refleksije in varen prostor deljenja strokovnih izkušenj, poleg tega pa zagotavljajo prostor pripadnosti znotraj organizacijskega konteksta.</w:t>
      </w:r>
    </w:p>
    <w:p w14:paraId="18DC4E96" w14:textId="77777777" w:rsidR="006A7445" w:rsidRDefault="00000000">
      <w:pPr>
        <w:numPr>
          <w:ilvl w:val="0"/>
          <w:numId w:val="1"/>
        </w:numPr>
        <w:jc w:val="both"/>
        <w:rPr>
          <w:b/>
          <w:bCs/>
        </w:rPr>
      </w:pPr>
      <w:r>
        <w:rPr>
          <w:b/>
          <w:bCs/>
        </w:rPr>
        <w:t>VIRI IN LITERATURA</w:t>
      </w:r>
    </w:p>
    <w:p w14:paraId="56BF7DE6" w14:textId="77777777" w:rsidR="006A7445" w:rsidRDefault="006A7445">
      <w:pPr>
        <w:jc w:val="both"/>
        <w:rPr>
          <w:b/>
          <w:bCs/>
        </w:rPr>
      </w:pPr>
    </w:p>
    <w:p w14:paraId="0B4DBD3F" w14:textId="77777777" w:rsidR="006A7445" w:rsidRDefault="00000000" w:rsidP="00A63A44">
      <w:pPr>
        <w:spacing w:line="240" w:lineRule="auto"/>
        <w:ind w:left="720" w:hanging="720"/>
        <w:jc w:val="both"/>
        <w:rPr>
          <w:color w:val="222222"/>
          <w:highlight w:val="white"/>
        </w:rPr>
      </w:pPr>
      <w:proofErr w:type="spellStart"/>
      <w:r>
        <w:rPr>
          <w:color w:val="222222"/>
          <w:highlight w:val="white"/>
        </w:rPr>
        <w:t>Aldercote</w:t>
      </w:r>
      <w:proofErr w:type="spellEnd"/>
      <w:r>
        <w:rPr>
          <w:color w:val="222222"/>
          <w:highlight w:val="white"/>
        </w:rPr>
        <w:t xml:space="preserve">, A., </w:t>
      </w:r>
      <w:proofErr w:type="spellStart"/>
      <w:r>
        <w:rPr>
          <w:color w:val="222222"/>
          <w:highlight w:val="white"/>
        </w:rPr>
        <w:t>Caprile</w:t>
      </w:r>
      <w:proofErr w:type="spellEnd"/>
      <w:r>
        <w:rPr>
          <w:color w:val="222222"/>
          <w:highlight w:val="white"/>
        </w:rPr>
        <w:t xml:space="preserve">, M., Gugan, K., </w:t>
      </w:r>
      <w:proofErr w:type="spellStart"/>
      <w:r>
        <w:rPr>
          <w:color w:val="222222"/>
          <w:highlight w:val="white"/>
        </w:rPr>
        <w:t>MacÍbha-Pinchbeck</w:t>
      </w:r>
      <w:proofErr w:type="spellEnd"/>
      <w:r>
        <w:rPr>
          <w:color w:val="222222"/>
          <w:highlight w:val="white"/>
        </w:rPr>
        <w:t xml:space="preserve">, M., Müller, J., </w:t>
      </w:r>
      <w:proofErr w:type="spellStart"/>
      <w:r>
        <w:rPr>
          <w:color w:val="222222"/>
          <w:highlight w:val="white"/>
        </w:rPr>
        <w:t>Palmen</w:t>
      </w:r>
      <w:proofErr w:type="spellEnd"/>
      <w:r>
        <w:rPr>
          <w:color w:val="222222"/>
          <w:highlight w:val="white"/>
        </w:rPr>
        <w:t xml:space="preserve">, R. in Martin, C. (2019). ACT: </w:t>
      </w:r>
      <w:proofErr w:type="spellStart"/>
      <w:r>
        <w:rPr>
          <w:color w:val="222222"/>
          <w:highlight w:val="white"/>
        </w:rPr>
        <w:t>Communities</w:t>
      </w:r>
      <w:proofErr w:type="spellEnd"/>
      <w:r>
        <w:rPr>
          <w:color w:val="222222"/>
          <w:highlight w:val="white"/>
        </w:rPr>
        <w:t xml:space="preserve"> </w:t>
      </w:r>
      <w:proofErr w:type="spellStart"/>
      <w:r>
        <w:rPr>
          <w:color w:val="222222"/>
          <w:highlight w:val="white"/>
        </w:rPr>
        <w:t>of</w:t>
      </w:r>
      <w:proofErr w:type="spellEnd"/>
      <w:r>
        <w:rPr>
          <w:color w:val="222222"/>
          <w:highlight w:val="white"/>
        </w:rPr>
        <w:t xml:space="preserve"> </w:t>
      </w:r>
      <w:proofErr w:type="spellStart"/>
      <w:r>
        <w:rPr>
          <w:color w:val="222222"/>
          <w:highlight w:val="white"/>
        </w:rPr>
        <w:t>practice</w:t>
      </w:r>
      <w:proofErr w:type="spellEnd"/>
      <w:r>
        <w:rPr>
          <w:color w:val="222222"/>
          <w:highlight w:val="white"/>
        </w:rPr>
        <w:t xml:space="preserve"> </w:t>
      </w:r>
      <w:proofErr w:type="spellStart"/>
      <w:r>
        <w:rPr>
          <w:color w:val="222222"/>
          <w:highlight w:val="white"/>
        </w:rPr>
        <w:t>for</w:t>
      </w:r>
      <w:proofErr w:type="spellEnd"/>
      <w:r>
        <w:rPr>
          <w:color w:val="222222"/>
          <w:highlight w:val="white"/>
        </w:rPr>
        <w:t xml:space="preserve"> </w:t>
      </w:r>
      <w:proofErr w:type="spellStart"/>
      <w:r>
        <w:rPr>
          <w:color w:val="222222"/>
          <w:highlight w:val="white"/>
        </w:rPr>
        <w:t>accelerating</w:t>
      </w:r>
      <w:proofErr w:type="spellEnd"/>
      <w:r>
        <w:rPr>
          <w:color w:val="222222"/>
          <w:highlight w:val="white"/>
        </w:rPr>
        <w:t xml:space="preserve"> </w:t>
      </w:r>
      <w:proofErr w:type="spellStart"/>
      <w:r>
        <w:rPr>
          <w:color w:val="222222"/>
          <w:highlight w:val="white"/>
        </w:rPr>
        <w:t>gender</w:t>
      </w:r>
      <w:proofErr w:type="spellEnd"/>
      <w:r>
        <w:rPr>
          <w:color w:val="222222"/>
          <w:highlight w:val="white"/>
        </w:rPr>
        <w:t xml:space="preserve"> </w:t>
      </w:r>
      <w:proofErr w:type="spellStart"/>
      <w:r>
        <w:rPr>
          <w:color w:val="222222"/>
          <w:highlight w:val="white"/>
        </w:rPr>
        <w:t>equality</w:t>
      </w:r>
      <w:proofErr w:type="spellEnd"/>
      <w:r>
        <w:rPr>
          <w:color w:val="222222"/>
          <w:highlight w:val="white"/>
        </w:rPr>
        <w:t xml:space="preserve"> </w:t>
      </w:r>
      <w:proofErr w:type="spellStart"/>
      <w:r>
        <w:rPr>
          <w:color w:val="222222"/>
          <w:highlight w:val="white"/>
        </w:rPr>
        <w:t>and</w:t>
      </w:r>
      <w:proofErr w:type="spellEnd"/>
      <w:r>
        <w:rPr>
          <w:color w:val="222222"/>
          <w:highlight w:val="white"/>
        </w:rPr>
        <w:t xml:space="preserve"> </w:t>
      </w:r>
      <w:proofErr w:type="spellStart"/>
      <w:r>
        <w:rPr>
          <w:color w:val="222222"/>
          <w:highlight w:val="white"/>
        </w:rPr>
        <w:t>institutional</w:t>
      </w:r>
      <w:proofErr w:type="spellEnd"/>
      <w:r>
        <w:rPr>
          <w:color w:val="222222"/>
          <w:highlight w:val="white"/>
        </w:rPr>
        <w:t xml:space="preserve"> </w:t>
      </w:r>
      <w:proofErr w:type="spellStart"/>
      <w:r>
        <w:rPr>
          <w:color w:val="222222"/>
          <w:highlight w:val="white"/>
        </w:rPr>
        <w:t>change</w:t>
      </w:r>
      <w:proofErr w:type="spellEnd"/>
      <w:r>
        <w:rPr>
          <w:color w:val="222222"/>
          <w:highlight w:val="white"/>
        </w:rPr>
        <w:t xml:space="preserve"> in </w:t>
      </w:r>
      <w:proofErr w:type="spellStart"/>
      <w:r>
        <w:rPr>
          <w:color w:val="222222"/>
          <w:highlight w:val="white"/>
        </w:rPr>
        <w:t>research</w:t>
      </w:r>
      <w:proofErr w:type="spellEnd"/>
      <w:r>
        <w:rPr>
          <w:color w:val="222222"/>
          <w:highlight w:val="white"/>
        </w:rPr>
        <w:t xml:space="preserve"> </w:t>
      </w:r>
      <w:proofErr w:type="spellStart"/>
      <w:r>
        <w:rPr>
          <w:color w:val="222222"/>
          <w:highlight w:val="white"/>
        </w:rPr>
        <w:t>and</w:t>
      </w:r>
      <w:proofErr w:type="spellEnd"/>
      <w:r>
        <w:rPr>
          <w:color w:val="222222"/>
          <w:highlight w:val="white"/>
        </w:rPr>
        <w:t xml:space="preserve"> </w:t>
      </w:r>
      <w:proofErr w:type="spellStart"/>
      <w:r>
        <w:rPr>
          <w:color w:val="222222"/>
          <w:highlight w:val="white"/>
        </w:rPr>
        <w:t>innovation</w:t>
      </w:r>
      <w:proofErr w:type="spellEnd"/>
      <w:r>
        <w:rPr>
          <w:color w:val="222222"/>
          <w:highlight w:val="white"/>
        </w:rPr>
        <w:t xml:space="preserve"> </w:t>
      </w:r>
      <w:proofErr w:type="spellStart"/>
      <w:r>
        <w:rPr>
          <w:color w:val="222222"/>
          <w:highlight w:val="white"/>
        </w:rPr>
        <w:t>across</w:t>
      </w:r>
      <w:proofErr w:type="spellEnd"/>
      <w:r>
        <w:rPr>
          <w:color w:val="222222"/>
          <w:highlight w:val="white"/>
        </w:rPr>
        <w:t xml:space="preserve"> </w:t>
      </w:r>
      <w:proofErr w:type="spellStart"/>
      <w:r>
        <w:rPr>
          <w:color w:val="222222"/>
          <w:highlight w:val="white"/>
        </w:rPr>
        <w:t>Europe</w:t>
      </w:r>
      <w:proofErr w:type="spellEnd"/>
      <w:r>
        <w:rPr>
          <w:color w:val="222222"/>
          <w:highlight w:val="white"/>
        </w:rPr>
        <w:t xml:space="preserve"> (</w:t>
      </w:r>
      <w:proofErr w:type="spellStart"/>
      <w:r>
        <w:rPr>
          <w:color w:val="222222"/>
          <w:highlight w:val="white"/>
        </w:rPr>
        <w:t>Deliverable</w:t>
      </w:r>
      <w:proofErr w:type="spellEnd"/>
      <w:r>
        <w:rPr>
          <w:color w:val="222222"/>
          <w:highlight w:val="white"/>
        </w:rPr>
        <w:t xml:space="preserve"> 2, </w:t>
      </w:r>
      <w:proofErr w:type="spellStart"/>
      <w:r>
        <w:rPr>
          <w:color w:val="222222"/>
          <w:highlight w:val="white"/>
        </w:rPr>
        <w:t>Version</w:t>
      </w:r>
      <w:proofErr w:type="spellEnd"/>
      <w:r>
        <w:rPr>
          <w:color w:val="222222"/>
          <w:highlight w:val="white"/>
        </w:rPr>
        <w:t xml:space="preserve"> 1.0). </w:t>
      </w:r>
      <w:proofErr w:type="spellStart"/>
      <w:r>
        <w:rPr>
          <w:color w:val="222222"/>
          <w:highlight w:val="white"/>
        </w:rPr>
        <w:t>Horizon</w:t>
      </w:r>
      <w:proofErr w:type="spellEnd"/>
      <w:r>
        <w:rPr>
          <w:color w:val="222222"/>
          <w:highlight w:val="white"/>
        </w:rPr>
        <w:t xml:space="preserve"> 2020, </w:t>
      </w:r>
      <w:proofErr w:type="spellStart"/>
      <w:r>
        <w:rPr>
          <w:color w:val="222222"/>
          <w:highlight w:val="white"/>
        </w:rPr>
        <w:t>European</w:t>
      </w:r>
      <w:proofErr w:type="spellEnd"/>
      <w:r>
        <w:rPr>
          <w:color w:val="222222"/>
          <w:highlight w:val="white"/>
        </w:rPr>
        <w:t xml:space="preserve"> </w:t>
      </w:r>
      <w:proofErr w:type="spellStart"/>
      <w:r>
        <w:rPr>
          <w:color w:val="222222"/>
          <w:highlight w:val="white"/>
        </w:rPr>
        <w:t>Commission</w:t>
      </w:r>
      <w:proofErr w:type="spellEnd"/>
      <w:r>
        <w:rPr>
          <w:color w:val="222222"/>
          <w:highlight w:val="white"/>
        </w:rPr>
        <w:t xml:space="preserve">. </w:t>
      </w:r>
      <w:hyperlink r:id="rId9">
        <w:r w:rsidR="006A7445">
          <w:rPr>
            <w:color w:val="1155CC"/>
            <w:highlight w:val="white"/>
            <w:u w:val="single"/>
          </w:rPr>
          <w:t>https://cordis.europa.eu/project/id/788204/results</w:t>
        </w:r>
      </w:hyperlink>
      <w:r>
        <w:rPr>
          <w:color w:val="222222"/>
          <w:highlight w:val="white"/>
        </w:rPr>
        <w:t xml:space="preserve"> </w:t>
      </w:r>
    </w:p>
    <w:p w14:paraId="4061C173" w14:textId="77777777" w:rsidR="006A7445" w:rsidRDefault="006A7445" w:rsidP="00A63A44">
      <w:pPr>
        <w:spacing w:line="240" w:lineRule="auto"/>
        <w:ind w:left="720" w:hanging="720"/>
        <w:jc w:val="both"/>
        <w:rPr>
          <w:color w:val="222222"/>
          <w:highlight w:val="white"/>
        </w:rPr>
      </w:pPr>
    </w:p>
    <w:p w14:paraId="01472F06" w14:textId="77777777" w:rsidR="006A7445" w:rsidRDefault="00000000" w:rsidP="00A63A44">
      <w:pPr>
        <w:spacing w:line="240" w:lineRule="auto"/>
        <w:ind w:left="720" w:hanging="720"/>
        <w:jc w:val="both"/>
        <w:rPr>
          <w:color w:val="222222"/>
          <w:highlight w:val="white"/>
        </w:rPr>
      </w:pPr>
      <w:proofErr w:type="spellStart"/>
      <w:r>
        <w:rPr>
          <w:color w:val="222222"/>
          <w:highlight w:val="white"/>
        </w:rPr>
        <w:t>Barros</w:t>
      </w:r>
      <w:proofErr w:type="spellEnd"/>
      <w:r>
        <w:rPr>
          <w:color w:val="222222"/>
          <w:highlight w:val="white"/>
        </w:rPr>
        <w:t xml:space="preserve">, R. (2012). </w:t>
      </w:r>
      <w:proofErr w:type="spellStart"/>
      <w:r>
        <w:rPr>
          <w:color w:val="222222"/>
          <w:highlight w:val="white"/>
        </w:rPr>
        <w:t>From</w:t>
      </w:r>
      <w:proofErr w:type="spellEnd"/>
      <w:r>
        <w:rPr>
          <w:color w:val="222222"/>
          <w:highlight w:val="white"/>
        </w:rPr>
        <w:t xml:space="preserve"> </w:t>
      </w:r>
      <w:proofErr w:type="spellStart"/>
      <w:r>
        <w:rPr>
          <w:color w:val="222222"/>
          <w:highlight w:val="white"/>
        </w:rPr>
        <w:t>lifelong</w:t>
      </w:r>
      <w:proofErr w:type="spellEnd"/>
      <w:r>
        <w:rPr>
          <w:color w:val="222222"/>
          <w:highlight w:val="white"/>
        </w:rPr>
        <w:t xml:space="preserve"> </w:t>
      </w:r>
      <w:proofErr w:type="spellStart"/>
      <w:r>
        <w:rPr>
          <w:color w:val="222222"/>
          <w:highlight w:val="white"/>
        </w:rPr>
        <w:t>education</w:t>
      </w:r>
      <w:proofErr w:type="spellEnd"/>
      <w:r>
        <w:rPr>
          <w:color w:val="222222"/>
          <w:highlight w:val="white"/>
        </w:rPr>
        <w:t xml:space="preserve"> to </w:t>
      </w:r>
      <w:proofErr w:type="spellStart"/>
      <w:r>
        <w:rPr>
          <w:color w:val="222222"/>
          <w:highlight w:val="white"/>
        </w:rPr>
        <w:t>lifelong</w:t>
      </w:r>
      <w:proofErr w:type="spellEnd"/>
      <w:r>
        <w:rPr>
          <w:color w:val="222222"/>
          <w:highlight w:val="white"/>
        </w:rPr>
        <w:t xml:space="preserve"> </w:t>
      </w:r>
      <w:proofErr w:type="spellStart"/>
      <w:r>
        <w:rPr>
          <w:color w:val="222222"/>
          <w:highlight w:val="white"/>
        </w:rPr>
        <w:t>learning</w:t>
      </w:r>
      <w:proofErr w:type="spellEnd"/>
      <w:r>
        <w:rPr>
          <w:color w:val="222222"/>
          <w:highlight w:val="white"/>
        </w:rPr>
        <w:t xml:space="preserve">. </w:t>
      </w:r>
      <w:proofErr w:type="spellStart"/>
      <w:r>
        <w:rPr>
          <w:color w:val="222222"/>
          <w:highlight w:val="white"/>
        </w:rPr>
        <w:t>Discussion</w:t>
      </w:r>
      <w:proofErr w:type="spellEnd"/>
      <w:r>
        <w:rPr>
          <w:color w:val="222222"/>
          <w:highlight w:val="white"/>
        </w:rPr>
        <w:t xml:space="preserve"> </w:t>
      </w:r>
      <w:proofErr w:type="spellStart"/>
      <w:r>
        <w:rPr>
          <w:color w:val="222222"/>
          <w:highlight w:val="white"/>
        </w:rPr>
        <w:t>of</w:t>
      </w:r>
      <w:proofErr w:type="spellEnd"/>
      <w:r>
        <w:rPr>
          <w:color w:val="222222"/>
          <w:highlight w:val="white"/>
        </w:rPr>
        <w:t xml:space="preserve"> some </w:t>
      </w:r>
      <w:proofErr w:type="spellStart"/>
      <w:r>
        <w:rPr>
          <w:color w:val="222222"/>
          <w:highlight w:val="white"/>
        </w:rPr>
        <w:t>effects</w:t>
      </w:r>
      <w:proofErr w:type="spellEnd"/>
      <w:r>
        <w:rPr>
          <w:color w:val="222222"/>
          <w:highlight w:val="white"/>
        </w:rPr>
        <w:t xml:space="preserve"> </w:t>
      </w:r>
      <w:proofErr w:type="spellStart"/>
      <w:r>
        <w:rPr>
          <w:color w:val="222222"/>
          <w:highlight w:val="white"/>
        </w:rPr>
        <w:t>of</w:t>
      </w:r>
      <w:proofErr w:type="spellEnd"/>
      <w:r>
        <w:rPr>
          <w:color w:val="222222"/>
          <w:highlight w:val="white"/>
        </w:rPr>
        <w:t xml:space="preserve"> </w:t>
      </w:r>
      <w:proofErr w:type="spellStart"/>
      <w:r>
        <w:rPr>
          <w:color w:val="222222"/>
          <w:highlight w:val="white"/>
        </w:rPr>
        <w:t>today’s</w:t>
      </w:r>
      <w:proofErr w:type="spellEnd"/>
      <w:r>
        <w:rPr>
          <w:color w:val="222222"/>
          <w:highlight w:val="white"/>
        </w:rPr>
        <w:t xml:space="preserve"> </w:t>
      </w:r>
      <w:proofErr w:type="spellStart"/>
      <w:r>
        <w:rPr>
          <w:color w:val="222222"/>
          <w:highlight w:val="white"/>
        </w:rPr>
        <w:t>neoliberal</w:t>
      </w:r>
      <w:proofErr w:type="spellEnd"/>
      <w:r>
        <w:rPr>
          <w:color w:val="222222"/>
          <w:highlight w:val="white"/>
        </w:rPr>
        <w:t xml:space="preserve"> </w:t>
      </w:r>
      <w:proofErr w:type="spellStart"/>
      <w:r>
        <w:rPr>
          <w:color w:val="222222"/>
          <w:highlight w:val="white"/>
        </w:rPr>
        <w:t>policies</w:t>
      </w:r>
      <w:proofErr w:type="spellEnd"/>
      <w:r>
        <w:rPr>
          <w:color w:val="222222"/>
          <w:highlight w:val="white"/>
        </w:rPr>
        <w:t xml:space="preserve">. </w:t>
      </w:r>
      <w:proofErr w:type="spellStart"/>
      <w:r>
        <w:rPr>
          <w:color w:val="222222"/>
          <w:highlight w:val="white"/>
        </w:rPr>
        <w:t>European</w:t>
      </w:r>
      <w:proofErr w:type="spellEnd"/>
      <w:r>
        <w:rPr>
          <w:color w:val="222222"/>
          <w:highlight w:val="white"/>
        </w:rPr>
        <w:t xml:space="preserve"> </w:t>
      </w:r>
      <w:proofErr w:type="spellStart"/>
      <w:r>
        <w:rPr>
          <w:color w:val="222222"/>
          <w:highlight w:val="white"/>
        </w:rPr>
        <w:t>journal</w:t>
      </w:r>
      <w:proofErr w:type="spellEnd"/>
      <w:r>
        <w:rPr>
          <w:color w:val="222222"/>
          <w:highlight w:val="white"/>
        </w:rPr>
        <w:t xml:space="preserve"> </w:t>
      </w:r>
      <w:proofErr w:type="spellStart"/>
      <w:r>
        <w:rPr>
          <w:color w:val="222222"/>
          <w:highlight w:val="white"/>
        </w:rPr>
        <w:t>for</w:t>
      </w:r>
      <w:proofErr w:type="spellEnd"/>
      <w:r>
        <w:rPr>
          <w:color w:val="222222"/>
          <w:highlight w:val="white"/>
        </w:rPr>
        <w:t xml:space="preserve"> </w:t>
      </w:r>
      <w:proofErr w:type="spellStart"/>
      <w:r>
        <w:rPr>
          <w:color w:val="222222"/>
          <w:highlight w:val="white"/>
        </w:rPr>
        <w:t>Research</w:t>
      </w:r>
      <w:proofErr w:type="spellEnd"/>
      <w:r>
        <w:rPr>
          <w:color w:val="222222"/>
          <w:highlight w:val="white"/>
        </w:rPr>
        <w:t xml:space="preserve"> on </w:t>
      </w:r>
      <w:proofErr w:type="spellStart"/>
      <w:r>
        <w:rPr>
          <w:color w:val="222222"/>
          <w:highlight w:val="white"/>
        </w:rPr>
        <w:t>the</w:t>
      </w:r>
      <w:proofErr w:type="spellEnd"/>
      <w:r>
        <w:rPr>
          <w:color w:val="222222"/>
          <w:highlight w:val="white"/>
        </w:rPr>
        <w:t xml:space="preserve"> </w:t>
      </w:r>
      <w:proofErr w:type="spellStart"/>
      <w:r>
        <w:rPr>
          <w:color w:val="222222"/>
          <w:highlight w:val="white"/>
        </w:rPr>
        <w:t>Education</w:t>
      </w:r>
      <w:proofErr w:type="spellEnd"/>
      <w:r>
        <w:rPr>
          <w:color w:val="222222"/>
          <w:highlight w:val="white"/>
        </w:rPr>
        <w:t xml:space="preserve"> </w:t>
      </w:r>
      <w:proofErr w:type="spellStart"/>
      <w:r>
        <w:rPr>
          <w:color w:val="222222"/>
          <w:highlight w:val="white"/>
        </w:rPr>
        <w:t>and</w:t>
      </w:r>
      <w:proofErr w:type="spellEnd"/>
      <w:r>
        <w:rPr>
          <w:color w:val="222222"/>
          <w:highlight w:val="white"/>
        </w:rPr>
        <w:t xml:space="preserve"> </w:t>
      </w:r>
      <w:proofErr w:type="spellStart"/>
      <w:r>
        <w:rPr>
          <w:color w:val="222222"/>
          <w:highlight w:val="white"/>
        </w:rPr>
        <w:t>Learning</w:t>
      </w:r>
      <w:proofErr w:type="spellEnd"/>
      <w:r>
        <w:rPr>
          <w:color w:val="222222"/>
          <w:highlight w:val="white"/>
        </w:rPr>
        <w:t xml:space="preserve"> </w:t>
      </w:r>
      <w:proofErr w:type="spellStart"/>
      <w:r>
        <w:rPr>
          <w:color w:val="222222"/>
          <w:highlight w:val="white"/>
        </w:rPr>
        <w:t>of</w:t>
      </w:r>
      <w:proofErr w:type="spellEnd"/>
      <w:r>
        <w:rPr>
          <w:color w:val="222222"/>
          <w:highlight w:val="white"/>
        </w:rPr>
        <w:t xml:space="preserve"> </w:t>
      </w:r>
      <w:proofErr w:type="spellStart"/>
      <w:r>
        <w:rPr>
          <w:color w:val="222222"/>
          <w:highlight w:val="white"/>
        </w:rPr>
        <w:t>Adults</w:t>
      </w:r>
      <w:proofErr w:type="spellEnd"/>
      <w:r>
        <w:rPr>
          <w:color w:val="222222"/>
          <w:highlight w:val="white"/>
        </w:rPr>
        <w:t xml:space="preserve">, 3(2), 119-134. </w:t>
      </w:r>
      <w:hyperlink r:id="rId10">
        <w:r w:rsidR="006A7445">
          <w:rPr>
            <w:color w:val="1155CC"/>
            <w:highlight w:val="white"/>
            <w:u w:val="single"/>
          </w:rPr>
          <w:t>https://doi.org/10.3384/rela.2000-7426.rela0071</w:t>
        </w:r>
      </w:hyperlink>
      <w:r>
        <w:rPr>
          <w:color w:val="222222"/>
          <w:highlight w:val="white"/>
        </w:rPr>
        <w:t xml:space="preserve"> </w:t>
      </w:r>
    </w:p>
    <w:p w14:paraId="22E3AF48" w14:textId="77777777" w:rsidR="006A7445" w:rsidRDefault="006A7445" w:rsidP="00A63A44">
      <w:pPr>
        <w:spacing w:line="240" w:lineRule="auto"/>
        <w:ind w:left="720" w:hanging="720"/>
        <w:jc w:val="both"/>
        <w:rPr>
          <w:color w:val="222222"/>
          <w:highlight w:val="white"/>
        </w:rPr>
      </w:pPr>
    </w:p>
    <w:p w14:paraId="13C8162E" w14:textId="77777777" w:rsidR="006A7445" w:rsidRDefault="00000000" w:rsidP="00A63A44">
      <w:pPr>
        <w:spacing w:line="240" w:lineRule="auto"/>
        <w:ind w:left="720" w:hanging="720"/>
        <w:jc w:val="both"/>
        <w:rPr>
          <w:color w:val="222222"/>
          <w:highlight w:val="white"/>
        </w:rPr>
      </w:pPr>
      <w:proofErr w:type="spellStart"/>
      <w:r>
        <w:rPr>
          <w:color w:val="222222"/>
          <w:highlight w:val="white"/>
        </w:rPr>
        <w:t>Cox</w:t>
      </w:r>
      <w:proofErr w:type="spellEnd"/>
      <w:r>
        <w:rPr>
          <w:color w:val="222222"/>
          <w:highlight w:val="white"/>
        </w:rPr>
        <w:t xml:space="preserve">, A. (2005). </w:t>
      </w:r>
      <w:proofErr w:type="spellStart"/>
      <w:r>
        <w:rPr>
          <w:color w:val="222222"/>
          <w:highlight w:val="white"/>
        </w:rPr>
        <w:t>What</w:t>
      </w:r>
      <w:proofErr w:type="spellEnd"/>
      <w:r>
        <w:rPr>
          <w:color w:val="222222"/>
          <w:highlight w:val="white"/>
        </w:rPr>
        <w:t xml:space="preserve"> are </w:t>
      </w:r>
      <w:proofErr w:type="spellStart"/>
      <w:r>
        <w:rPr>
          <w:color w:val="222222"/>
          <w:highlight w:val="white"/>
        </w:rPr>
        <w:t>communities</w:t>
      </w:r>
      <w:proofErr w:type="spellEnd"/>
      <w:r>
        <w:rPr>
          <w:color w:val="222222"/>
          <w:highlight w:val="white"/>
        </w:rPr>
        <w:t xml:space="preserve"> </w:t>
      </w:r>
      <w:proofErr w:type="spellStart"/>
      <w:r>
        <w:rPr>
          <w:color w:val="222222"/>
          <w:highlight w:val="white"/>
        </w:rPr>
        <w:t>of</w:t>
      </w:r>
      <w:proofErr w:type="spellEnd"/>
      <w:r>
        <w:rPr>
          <w:color w:val="222222"/>
          <w:highlight w:val="white"/>
        </w:rPr>
        <w:t xml:space="preserve"> </w:t>
      </w:r>
      <w:proofErr w:type="spellStart"/>
      <w:r>
        <w:rPr>
          <w:color w:val="222222"/>
          <w:highlight w:val="white"/>
        </w:rPr>
        <w:t>practice</w:t>
      </w:r>
      <w:proofErr w:type="spellEnd"/>
      <w:r>
        <w:rPr>
          <w:color w:val="222222"/>
          <w:highlight w:val="white"/>
        </w:rPr>
        <w:t xml:space="preserve">? A </w:t>
      </w:r>
      <w:proofErr w:type="spellStart"/>
      <w:r>
        <w:rPr>
          <w:color w:val="222222"/>
          <w:highlight w:val="white"/>
        </w:rPr>
        <w:t>comparative</w:t>
      </w:r>
      <w:proofErr w:type="spellEnd"/>
      <w:r>
        <w:rPr>
          <w:color w:val="222222"/>
          <w:highlight w:val="white"/>
        </w:rPr>
        <w:t xml:space="preserve"> </w:t>
      </w:r>
      <w:proofErr w:type="spellStart"/>
      <w:r>
        <w:rPr>
          <w:color w:val="222222"/>
          <w:highlight w:val="white"/>
        </w:rPr>
        <w:t>review</w:t>
      </w:r>
      <w:proofErr w:type="spellEnd"/>
      <w:r>
        <w:rPr>
          <w:color w:val="222222"/>
          <w:highlight w:val="white"/>
        </w:rPr>
        <w:t xml:space="preserve"> </w:t>
      </w:r>
      <w:proofErr w:type="spellStart"/>
      <w:r>
        <w:rPr>
          <w:color w:val="222222"/>
          <w:highlight w:val="white"/>
        </w:rPr>
        <w:t>of</w:t>
      </w:r>
      <w:proofErr w:type="spellEnd"/>
      <w:r>
        <w:rPr>
          <w:color w:val="222222"/>
          <w:highlight w:val="white"/>
        </w:rPr>
        <w:t xml:space="preserve"> </w:t>
      </w:r>
      <w:proofErr w:type="spellStart"/>
      <w:r>
        <w:rPr>
          <w:color w:val="222222"/>
          <w:highlight w:val="white"/>
        </w:rPr>
        <w:t>four</w:t>
      </w:r>
      <w:proofErr w:type="spellEnd"/>
      <w:r>
        <w:rPr>
          <w:color w:val="222222"/>
          <w:highlight w:val="white"/>
        </w:rPr>
        <w:t xml:space="preserve"> </w:t>
      </w:r>
      <w:proofErr w:type="spellStart"/>
      <w:r>
        <w:rPr>
          <w:color w:val="222222"/>
          <w:highlight w:val="white"/>
        </w:rPr>
        <w:t>seminal</w:t>
      </w:r>
      <w:proofErr w:type="spellEnd"/>
      <w:r>
        <w:rPr>
          <w:color w:val="222222"/>
          <w:highlight w:val="white"/>
        </w:rPr>
        <w:t xml:space="preserve"> </w:t>
      </w:r>
      <w:proofErr w:type="spellStart"/>
      <w:r>
        <w:rPr>
          <w:color w:val="222222"/>
          <w:highlight w:val="white"/>
        </w:rPr>
        <w:t>works</w:t>
      </w:r>
      <w:proofErr w:type="spellEnd"/>
      <w:r>
        <w:rPr>
          <w:color w:val="222222"/>
          <w:highlight w:val="white"/>
        </w:rPr>
        <w:t xml:space="preserve">. </w:t>
      </w:r>
      <w:proofErr w:type="spellStart"/>
      <w:r>
        <w:rPr>
          <w:i/>
          <w:iCs/>
          <w:color w:val="222222"/>
          <w:highlight w:val="white"/>
        </w:rPr>
        <w:t>Journal</w:t>
      </w:r>
      <w:proofErr w:type="spellEnd"/>
      <w:r>
        <w:rPr>
          <w:i/>
          <w:iCs/>
          <w:color w:val="222222"/>
          <w:highlight w:val="white"/>
        </w:rPr>
        <w:t xml:space="preserve"> </w:t>
      </w:r>
      <w:proofErr w:type="spellStart"/>
      <w:r>
        <w:rPr>
          <w:i/>
          <w:iCs/>
          <w:color w:val="222222"/>
          <w:highlight w:val="white"/>
        </w:rPr>
        <w:t>of</w:t>
      </w:r>
      <w:proofErr w:type="spellEnd"/>
      <w:r>
        <w:rPr>
          <w:i/>
          <w:iCs/>
          <w:color w:val="222222"/>
          <w:highlight w:val="white"/>
        </w:rPr>
        <w:t xml:space="preserve"> </w:t>
      </w:r>
      <w:proofErr w:type="spellStart"/>
      <w:r>
        <w:rPr>
          <w:i/>
          <w:iCs/>
          <w:color w:val="222222"/>
          <w:highlight w:val="white"/>
        </w:rPr>
        <w:t>information</w:t>
      </w:r>
      <w:proofErr w:type="spellEnd"/>
      <w:r>
        <w:rPr>
          <w:i/>
          <w:iCs/>
          <w:color w:val="222222"/>
          <w:highlight w:val="white"/>
        </w:rPr>
        <w:t xml:space="preserve"> science</w:t>
      </w:r>
      <w:r>
        <w:rPr>
          <w:color w:val="222222"/>
          <w:highlight w:val="white"/>
        </w:rPr>
        <w:t xml:space="preserve">, </w:t>
      </w:r>
      <w:r>
        <w:rPr>
          <w:i/>
          <w:iCs/>
          <w:color w:val="222222"/>
          <w:highlight w:val="white"/>
        </w:rPr>
        <w:t>31</w:t>
      </w:r>
      <w:r>
        <w:rPr>
          <w:color w:val="222222"/>
          <w:highlight w:val="white"/>
        </w:rPr>
        <w:t xml:space="preserve">(6), 527-540. </w:t>
      </w:r>
      <w:hyperlink r:id="rId11">
        <w:r w:rsidR="006A7445">
          <w:rPr>
            <w:color w:val="1554B2"/>
            <w:highlight w:val="white"/>
            <w:u w:val="single"/>
          </w:rPr>
          <w:t>https://doi.org/10.1177/0165551505057016</w:t>
        </w:r>
      </w:hyperlink>
    </w:p>
    <w:p w14:paraId="7E07AA74" w14:textId="77777777" w:rsidR="006A7445" w:rsidRDefault="006A7445" w:rsidP="00A63A44">
      <w:pPr>
        <w:spacing w:line="240" w:lineRule="auto"/>
        <w:ind w:left="720" w:hanging="720"/>
        <w:jc w:val="both"/>
        <w:rPr>
          <w:color w:val="222222"/>
          <w:highlight w:val="white"/>
        </w:rPr>
      </w:pPr>
    </w:p>
    <w:p w14:paraId="07230E21" w14:textId="77777777" w:rsidR="006A7445" w:rsidRDefault="00000000" w:rsidP="00A63A44">
      <w:pPr>
        <w:spacing w:line="240" w:lineRule="auto"/>
        <w:ind w:left="720" w:hanging="720"/>
        <w:jc w:val="both"/>
        <w:rPr>
          <w:color w:val="006DB4"/>
          <w:highlight w:val="white"/>
        </w:rPr>
      </w:pPr>
      <w:proofErr w:type="spellStart"/>
      <w:r>
        <w:rPr>
          <w:color w:val="222222"/>
          <w:highlight w:val="white"/>
        </w:rPr>
        <w:t>Dakhli</w:t>
      </w:r>
      <w:proofErr w:type="spellEnd"/>
      <w:r>
        <w:rPr>
          <w:color w:val="222222"/>
          <w:highlight w:val="white"/>
        </w:rPr>
        <w:t xml:space="preserve">, M. in De </w:t>
      </w:r>
      <w:proofErr w:type="spellStart"/>
      <w:r>
        <w:rPr>
          <w:color w:val="222222"/>
          <w:highlight w:val="white"/>
        </w:rPr>
        <w:t>Clercq</w:t>
      </w:r>
      <w:proofErr w:type="spellEnd"/>
      <w:r>
        <w:rPr>
          <w:color w:val="222222"/>
          <w:highlight w:val="white"/>
        </w:rPr>
        <w:t xml:space="preserve">, D. (2004). Human </w:t>
      </w:r>
      <w:proofErr w:type="spellStart"/>
      <w:r>
        <w:rPr>
          <w:color w:val="222222"/>
          <w:highlight w:val="white"/>
        </w:rPr>
        <w:t>capital</w:t>
      </w:r>
      <w:proofErr w:type="spellEnd"/>
      <w:r>
        <w:rPr>
          <w:color w:val="222222"/>
          <w:highlight w:val="white"/>
        </w:rPr>
        <w:t xml:space="preserve">, social </w:t>
      </w:r>
      <w:proofErr w:type="spellStart"/>
      <w:r>
        <w:rPr>
          <w:color w:val="222222"/>
          <w:highlight w:val="white"/>
        </w:rPr>
        <w:t>capital</w:t>
      </w:r>
      <w:proofErr w:type="spellEnd"/>
      <w:r>
        <w:rPr>
          <w:color w:val="222222"/>
          <w:highlight w:val="white"/>
        </w:rPr>
        <w:t xml:space="preserve">, </w:t>
      </w:r>
      <w:proofErr w:type="spellStart"/>
      <w:r>
        <w:rPr>
          <w:color w:val="222222"/>
          <w:highlight w:val="white"/>
        </w:rPr>
        <w:t>and</w:t>
      </w:r>
      <w:proofErr w:type="spellEnd"/>
      <w:r>
        <w:rPr>
          <w:color w:val="222222"/>
          <w:highlight w:val="white"/>
        </w:rPr>
        <w:t xml:space="preserve"> </w:t>
      </w:r>
      <w:proofErr w:type="spellStart"/>
      <w:r>
        <w:rPr>
          <w:color w:val="222222"/>
          <w:highlight w:val="white"/>
        </w:rPr>
        <w:t>innovation</w:t>
      </w:r>
      <w:proofErr w:type="spellEnd"/>
      <w:r>
        <w:rPr>
          <w:color w:val="222222"/>
          <w:highlight w:val="white"/>
        </w:rPr>
        <w:t xml:space="preserve">: a </w:t>
      </w:r>
      <w:proofErr w:type="spellStart"/>
      <w:r>
        <w:rPr>
          <w:color w:val="222222"/>
          <w:highlight w:val="white"/>
        </w:rPr>
        <w:t>multi-country</w:t>
      </w:r>
      <w:proofErr w:type="spellEnd"/>
      <w:r>
        <w:rPr>
          <w:color w:val="222222"/>
          <w:highlight w:val="white"/>
        </w:rPr>
        <w:t xml:space="preserve"> </w:t>
      </w:r>
      <w:proofErr w:type="spellStart"/>
      <w:r>
        <w:rPr>
          <w:color w:val="222222"/>
          <w:highlight w:val="white"/>
        </w:rPr>
        <w:t>study</w:t>
      </w:r>
      <w:proofErr w:type="spellEnd"/>
      <w:r>
        <w:rPr>
          <w:color w:val="222222"/>
          <w:highlight w:val="white"/>
        </w:rPr>
        <w:t xml:space="preserve">. </w:t>
      </w:r>
      <w:proofErr w:type="spellStart"/>
      <w:r>
        <w:rPr>
          <w:i/>
          <w:iCs/>
          <w:color w:val="222222"/>
          <w:highlight w:val="white"/>
        </w:rPr>
        <w:t>Entrepreneurship</w:t>
      </w:r>
      <w:proofErr w:type="spellEnd"/>
      <w:r>
        <w:rPr>
          <w:i/>
          <w:iCs/>
          <w:color w:val="222222"/>
          <w:highlight w:val="white"/>
        </w:rPr>
        <w:t xml:space="preserve"> &amp; </w:t>
      </w:r>
      <w:proofErr w:type="spellStart"/>
      <w:r>
        <w:rPr>
          <w:i/>
          <w:iCs/>
          <w:color w:val="222222"/>
          <w:highlight w:val="white"/>
        </w:rPr>
        <w:t>regional</w:t>
      </w:r>
      <w:proofErr w:type="spellEnd"/>
      <w:r>
        <w:rPr>
          <w:i/>
          <w:iCs/>
          <w:color w:val="222222"/>
          <w:highlight w:val="white"/>
        </w:rPr>
        <w:t xml:space="preserve"> </w:t>
      </w:r>
      <w:proofErr w:type="spellStart"/>
      <w:r>
        <w:rPr>
          <w:i/>
          <w:iCs/>
          <w:color w:val="222222"/>
          <w:highlight w:val="white"/>
        </w:rPr>
        <w:t>development</w:t>
      </w:r>
      <w:proofErr w:type="spellEnd"/>
      <w:r>
        <w:rPr>
          <w:color w:val="222222"/>
          <w:highlight w:val="white"/>
        </w:rPr>
        <w:t xml:space="preserve">, </w:t>
      </w:r>
      <w:r>
        <w:rPr>
          <w:i/>
          <w:iCs/>
          <w:color w:val="222222"/>
          <w:highlight w:val="white"/>
        </w:rPr>
        <w:t>16</w:t>
      </w:r>
      <w:r>
        <w:rPr>
          <w:color w:val="222222"/>
          <w:highlight w:val="white"/>
        </w:rPr>
        <w:t xml:space="preserve">(2), 107-128. </w:t>
      </w:r>
      <w:hyperlink r:id="rId12">
        <w:r w:rsidR="006A7445">
          <w:rPr>
            <w:color w:val="006DB4"/>
            <w:highlight w:val="white"/>
          </w:rPr>
          <w:t>https://doi.org/10.1080/08985620410001677835</w:t>
        </w:r>
      </w:hyperlink>
    </w:p>
    <w:p w14:paraId="66E1CC19" w14:textId="77777777" w:rsidR="006A7445" w:rsidRDefault="006A7445" w:rsidP="00A63A44">
      <w:pPr>
        <w:spacing w:line="240" w:lineRule="auto"/>
        <w:ind w:left="720" w:hanging="720"/>
        <w:jc w:val="both"/>
        <w:rPr>
          <w:color w:val="222222"/>
          <w:highlight w:val="white"/>
        </w:rPr>
      </w:pPr>
    </w:p>
    <w:p w14:paraId="7F5FB930" w14:textId="77777777" w:rsidR="006A7445" w:rsidRDefault="00000000" w:rsidP="00A63A44">
      <w:pPr>
        <w:spacing w:line="240" w:lineRule="auto"/>
        <w:ind w:left="720" w:hanging="720"/>
        <w:rPr>
          <w:highlight w:val="white"/>
        </w:rPr>
      </w:pPr>
      <w:proofErr w:type="spellStart"/>
      <w:r>
        <w:rPr>
          <w:highlight w:val="white"/>
        </w:rPr>
        <w:t>Hunter</w:t>
      </w:r>
      <w:proofErr w:type="spellEnd"/>
      <w:r>
        <w:rPr>
          <w:highlight w:val="white"/>
        </w:rPr>
        <w:t xml:space="preserve">, L., </w:t>
      </w:r>
      <w:proofErr w:type="spellStart"/>
      <w:r>
        <w:rPr>
          <w:highlight w:val="white"/>
        </w:rPr>
        <w:t>Alonge</w:t>
      </w:r>
      <w:proofErr w:type="spellEnd"/>
      <w:r>
        <w:rPr>
          <w:highlight w:val="white"/>
        </w:rPr>
        <w:t xml:space="preserve">, H., </w:t>
      </w:r>
      <w:proofErr w:type="spellStart"/>
      <w:r>
        <w:rPr>
          <w:highlight w:val="white"/>
        </w:rPr>
        <w:t>Goldenberg</w:t>
      </w:r>
      <w:proofErr w:type="spellEnd"/>
      <w:r>
        <w:rPr>
          <w:highlight w:val="white"/>
        </w:rPr>
        <w:t xml:space="preserve">, T. in </w:t>
      </w:r>
      <w:proofErr w:type="spellStart"/>
      <w:r>
        <w:rPr>
          <w:highlight w:val="white"/>
        </w:rPr>
        <w:t>Bogue</w:t>
      </w:r>
      <w:proofErr w:type="spellEnd"/>
      <w:r>
        <w:rPr>
          <w:highlight w:val="white"/>
        </w:rPr>
        <w:t xml:space="preserve">, B. (2014). </w:t>
      </w:r>
      <w:proofErr w:type="spellStart"/>
      <w:r>
        <w:rPr>
          <w:highlight w:val="white"/>
        </w:rPr>
        <w:t>Communities</w:t>
      </w:r>
      <w:proofErr w:type="spellEnd"/>
      <w:r>
        <w:rPr>
          <w:highlight w:val="white"/>
        </w:rPr>
        <w:t xml:space="preserve"> </w:t>
      </w:r>
      <w:proofErr w:type="spellStart"/>
      <w:r>
        <w:rPr>
          <w:highlight w:val="white"/>
        </w:rPr>
        <w:t>of</w:t>
      </w:r>
      <w:proofErr w:type="spellEnd"/>
      <w:r>
        <w:rPr>
          <w:highlight w:val="white"/>
        </w:rPr>
        <w:t xml:space="preserve"> </w:t>
      </w:r>
      <w:proofErr w:type="spellStart"/>
      <w:r>
        <w:rPr>
          <w:highlight w:val="white"/>
        </w:rPr>
        <w:t>practice</w:t>
      </w:r>
      <w:proofErr w:type="spellEnd"/>
      <w:r>
        <w:rPr>
          <w:highlight w:val="white"/>
        </w:rPr>
        <w:t xml:space="preserve"> manual. Dostopno na povezavi:  </w:t>
      </w:r>
      <w:hyperlink r:id="rId13">
        <w:r w:rsidR="006A7445">
          <w:rPr>
            <w:color w:val="1155CC"/>
            <w:highlight w:val="white"/>
            <w:u w:val="single"/>
          </w:rPr>
          <w:t>https://mn.gov/doc/assets/Communities-of-Practice-Manual-2018_tcm1089-355667.pdf</w:t>
        </w:r>
      </w:hyperlink>
      <w:r>
        <w:rPr>
          <w:highlight w:val="white"/>
        </w:rPr>
        <w:t xml:space="preserve"> </w:t>
      </w:r>
    </w:p>
    <w:p w14:paraId="16506C0A" w14:textId="77777777" w:rsidR="006A7445" w:rsidRDefault="006A7445" w:rsidP="00A63A44">
      <w:pPr>
        <w:spacing w:line="240" w:lineRule="auto"/>
        <w:ind w:left="720" w:hanging="720"/>
        <w:jc w:val="both"/>
        <w:rPr>
          <w:highlight w:val="white"/>
        </w:rPr>
      </w:pPr>
    </w:p>
    <w:p w14:paraId="264D6A04" w14:textId="77777777" w:rsidR="006A7445" w:rsidRDefault="00000000" w:rsidP="00A63A44">
      <w:pPr>
        <w:spacing w:line="240" w:lineRule="auto"/>
        <w:ind w:left="720" w:hanging="720"/>
        <w:jc w:val="both"/>
        <w:rPr>
          <w:color w:val="222222"/>
          <w:highlight w:val="white"/>
        </w:rPr>
      </w:pPr>
      <w:proofErr w:type="spellStart"/>
      <w:r>
        <w:rPr>
          <w:color w:val="222222"/>
          <w:highlight w:val="white"/>
        </w:rPr>
        <w:t>Kimble</w:t>
      </w:r>
      <w:proofErr w:type="spellEnd"/>
      <w:r>
        <w:rPr>
          <w:color w:val="222222"/>
          <w:highlight w:val="white"/>
        </w:rPr>
        <w:t xml:space="preserve">, C. in </w:t>
      </w:r>
      <w:proofErr w:type="spellStart"/>
      <w:r>
        <w:rPr>
          <w:color w:val="222222"/>
          <w:highlight w:val="white"/>
        </w:rPr>
        <w:t>Hildreth</w:t>
      </w:r>
      <w:proofErr w:type="spellEnd"/>
      <w:r>
        <w:rPr>
          <w:color w:val="222222"/>
          <w:highlight w:val="white"/>
        </w:rPr>
        <w:t xml:space="preserve">, P. M. (2004). </w:t>
      </w:r>
      <w:proofErr w:type="spellStart"/>
      <w:r>
        <w:rPr>
          <w:color w:val="222222"/>
          <w:highlight w:val="white"/>
        </w:rPr>
        <w:t>Communities</w:t>
      </w:r>
      <w:proofErr w:type="spellEnd"/>
      <w:r>
        <w:rPr>
          <w:color w:val="222222"/>
          <w:highlight w:val="white"/>
        </w:rPr>
        <w:t xml:space="preserve"> </w:t>
      </w:r>
      <w:proofErr w:type="spellStart"/>
      <w:r>
        <w:rPr>
          <w:color w:val="222222"/>
          <w:highlight w:val="white"/>
        </w:rPr>
        <w:t>of</w:t>
      </w:r>
      <w:proofErr w:type="spellEnd"/>
      <w:r>
        <w:rPr>
          <w:color w:val="222222"/>
          <w:highlight w:val="white"/>
        </w:rPr>
        <w:t xml:space="preserve"> </w:t>
      </w:r>
      <w:proofErr w:type="spellStart"/>
      <w:r>
        <w:rPr>
          <w:color w:val="222222"/>
          <w:highlight w:val="white"/>
        </w:rPr>
        <w:t>practice</w:t>
      </w:r>
      <w:proofErr w:type="spellEnd"/>
      <w:r>
        <w:rPr>
          <w:color w:val="222222"/>
          <w:highlight w:val="white"/>
        </w:rPr>
        <w:t xml:space="preserve">: </w:t>
      </w:r>
      <w:proofErr w:type="spellStart"/>
      <w:r>
        <w:rPr>
          <w:color w:val="222222"/>
          <w:highlight w:val="white"/>
        </w:rPr>
        <w:t>Going</w:t>
      </w:r>
      <w:proofErr w:type="spellEnd"/>
      <w:r>
        <w:rPr>
          <w:color w:val="222222"/>
          <w:highlight w:val="white"/>
        </w:rPr>
        <w:t xml:space="preserve"> one step </w:t>
      </w:r>
      <w:proofErr w:type="spellStart"/>
      <w:r>
        <w:rPr>
          <w:color w:val="222222"/>
          <w:highlight w:val="white"/>
        </w:rPr>
        <w:t>too</w:t>
      </w:r>
      <w:proofErr w:type="spellEnd"/>
      <w:r>
        <w:rPr>
          <w:color w:val="222222"/>
          <w:highlight w:val="white"/>
        </w:rPr>
        <w:t xml:space="preserve"> far?. V 9e </w:t>
      </w:r>
      <w:proofErr w:type="spellStart"/>
      <w:r>
        <w:rPr>
          <w:color w:val="222222"/>
          <w:highlight w:val="white"/>
        </w:rPr>
        <w:t>colloque</w:t>
      </w:r>
      <w:proofErr w:type="spellEnd"/>
      <w:r>
        <w:rPr>
          <w:color w:val="222222"/>
          <w:highlight w:val="white"/>
        </w:rPr>
        <w:t xml:space="preserve"> de </w:t>
      </w:r>
      <w:proofErr w:type="spellStart"/>
      <w:r>
        <w:rPr>
          <w:color w:val="222222"/>
          <w:highlight w:val="white"/>
        </w:rPr>
        <w:t>l'AIM</w:t>
      </w:r>
      <w:proofErr w:type="spellEnd"/>
      <w:r>
        <w:rPr>
          <w:color w:val="222222"/>
          <w:highlight w:val="white"/>
        </w:rPr>
        <w:t>,(</w:t>
      </w:r>
      <w:proofErr w:type="spellStart"/>
      <w:r>
        <w:rPr>
          <w:color w:val="222222"/>
          <w:highlight w:val="white"/>
        </w:rPr>
        <w:t>May</w:t>
      </w:r>
      <w:proofErr w:type="spellEnd"/>
      <w:r>
        <w:rPr>
          <w:color w:val="222222"/>
          <w:highlight w:val="white"/>
        </w:rPr>
        <w:t xml:space="preserve">), </w:t>
      </w:r>
      <w:proofErr w:type="spellStart"/>
      <w:r>
        <w:rPr>
          <w:color w:val="222222"/>
          <w:highlight w:val="white"/>
        </w:rPr>
        <w:t>Evry</w:t>
      </w:r>
      <w:proofErr w:type="spellEnd"/>
      <w:r>
        <w:rPr>
          <w:color w:val="222222"/>
          <w:highlight w:val="white"/>
        </w:rPr>
        <w:t>, France. Dostopno na povezavi:</w:t>
      </w:r>
      <w:hyperlink r:id="rId14">
        <w:r w:rsidR="006A7445">
          <w:rPr>
            <w:color w:val="1155CC"/>
            <w:highlight w:val="white"/>
            <w:u w:val="single"/>
          </w:rPr>
          <w:t>https://shs.hal.science/halshs-00489632/file/Kimble_2004.pdf</w:t>
        </w:r>
      </w:hyperlink>
      <w:r>
        <w:rPr>
          <w:color w:val="222222"/>
          <w:highlight w:val="white"/>
        </w:rPr>
        <w:t xml:space="preserve"> </w:t>
      </w:r>
    </w:p>
    <w:p w14:paraId="02E8DFA4" w14:textId="77777777" w:rsidR="006A7445" w:rsidRDefault="006A7445" w:rsidP="00A63A44">
      <w:pPr>
        <w:spacing w:line="240" w:lineRule="auto"/>
        <w:ind w:left="720" w:hanging="720"/>
        <w:jc w:val="both"/>
        <w:rPr>
          <w:color w:val="222222"/>
          <w:highlight w:val="white"/>
        </w:rPr>
      </w:pPr>
    </w:p>
    <w:p w14:paraId="3AD8554B" w14:textId="77777777" w:rsidR="006A7445" w:rsidRDefault="00000000" w:rsidP="00A63A44">
      <w:pPr>
        <w:spacing w:line="240" w:lineRule="auto"/>
        <w:ind w:left="720" w:hanging="720"/>
        <w:jc w:val="both"/>
        <w:rPr>
          <w:color w:val="222222"/>
          <w:highlight w:val="white"/>
        </w:rPr>
      </w:pPr>
      <w:proofErr w:type="spellStart"/>
      <w:r>
        <w:rPr>
          <w:color w:val="222222"/>
          <w:highlight w:val="white"/>
        </w:rPr>
        <w:t>Manuti</w:t>
      </w:r>
      <w:proofErr w:type="spellEnd"/>
      <w:r>
        <w:rPr>
          <w:color w:val="222222"/>
          <w:highlight w:val="white"/>
        </w:rPr>
        <w:t xml:space="preserve">, A., </w:t>
      </w:r>
      <w:proofErr w:type="spellStart"/>
      <w:r>
        <w:rPr>
          <w:color w:val="222222"/>
          <w:highlight w:val="white"/>
        </w:rPr>
        <w:t>Impedovo</w:t>
      </w:r>
      <w:proofErr w:type="spellEnd"/>
      <w:r>
        <w:rPr>
          <w:color w:val="222222"/>
          <w:highlight w:val="white"/>
        </w:rPr>
        <w:t xml:space="preserve">, M. A. in De Palma, P. D. (2017). </w:t>
      </w:r>
      <w:proofErr w:type="spellStart"/>
      <w:r>
        <w:rPr>
          <w:color w:val="222222"/>
          <w:highlight w:val="white"/>
        </w:rPr>
        <w:t>Managing</w:t>
      </w:r>
      <w:proofErr w:type="spellEnd"/>
      <w:r>
        <w:rPr>
          <w:color w:val="222222"/>
          <w:highlight w:val="white"/>
        </w:rPr>
        <w:t xml:space="preserve"> social </w:t>
      </w:r>
      <w:proofErr w:type="spellStart"/>
      <w:r>
        <w:rPr>
          <w:color w:val="222222"/>
          <w:highlight w:val="white"/>
        </w:rPr>
        <w:t>and</w:t>
      </w:r>
      <w:proofErr w:type="spellEnd"/>
      <w:r>
        <w:rPr>
          <w:color w:val="222222"/>
          <w:highlight w:val="white"/>
        </w:rPr>
        <w:t xml:space="preserve"> human </w:t>
      </w:r>
      <w:proofErr w:type="spellStart"/>
      <w:r>
        <w:rPr>
          <w:color w:val="222222"/>
          <w:highlight w:val="white"/>
        </w:rPr>
        <w:t>capital</w:t>
      </w:r>
      <w:proofErr w:type="spellEnd"/>
      <w:r>
        <w:rPr>
          <w:color w:val="222222"/>
          <w:highlight w:val="white"/>
        </w:rPr>
        <w:t xml:space="preserve"> in </w:t>
      </w:r>
      <w:proofErr w:type="spellStart"/>
      <w:r>
        <w:rPr>
          <w:color w:val="222222"/>
          <w:highlight w:val="white"/>
        </w:rPr>
        <w:t>organizations</w:t>
      </w:r>
      <w:proofErr w:type="spellEnd"/>
      <w:r>
        <w:rPr>
          <w:color w:val="222222"/>
          <w:highlight w:val="white"/>
        </w:rPr>
        <w:t xml:space="preserve">: </w:t>
      </w:r>
      <w:proofErr w:type="spellStart"/>
      <w:r>
        <w:rPr>
          <w:color w:val="222222"/>
          <w:highlight w:val="white"/>
        </w:rPr>
        <w:t>Communities</w:t>
      </w:r>
      <w:proofErr w:type="spellEnd"/>
      <w:r>
        <w:rPr>
          <w:color w:val="222222"/>
          <w:highlight w:val="white"/>
        </w:rPr>
        <w:t xml:space="preserve"> </w:t>
      </w:r>
      <w:proofErr w:type="spellStart"/>
      <w:r>
        <w:rPr>
          <w:color w:val="222222"/>
          <w:highlight w:val="white"/>
        </w:rPr>
        <w:t>of</w:t>
      </w:r>
      <w:proofErr w:type="spellEnd"/>
      <w:r>
        <w:rPr>
          <w:color w:val="222222"/>
          <w:highlight w:val="white"/>
        </w:rPr>
        <w:t xml:space="preserve"> </w:t>
      </w:r>
      <w:proofErr w:type="spellStart"/>
      <w:r>
        <w:rPr>
          <w:color w:val="222222"/>
          <w:highlight w:val="white"/>
        </w:rPr>
        <w:t>practices</w:t>
      </w:r>
      <w:proofErr w:type="spellEnd"/>
      <w:r>
        <w:rPr>
          <w:color w:val="222222"/>
          <w:highlight w:val="white"/>
        </w:rPr>
        <w:t xml:space="preserve"> as </w:t>
      </w:r>
      <w:proofErr w:type="spellStart"/>
      <w:r>
        <w:rPr>
          <w:color w:val="222222"/>
          <w:highlight w:val="white"/>
        </w:rPr>
        <w:t>strategic</w:t>
      </w:r>
      <w:proofErr w:type="spellEnd"/>
      <w:r>
        <w:rPr>
          <w:color w:val="222222"/>
          <w:highlight w:val="white"/>
        </w:rPr>
        <w:t xml:space="preserve"> </w:t>
      </w:r>
      <w:proofErr w:type="spellStart"/>
      <w:r>
        <w:rPr>
          <w:color w:val="222222"/>
          <w:highlight w:val="white"/>
        </w:rPr>
        <w:t>tools</w:t>
      </w:r>
      <w:proofErr w:type="spellEnd"/>
      <w:r>
        <w:rPr>
          <w:color w:val="222222"/>
          <w:highlight w:val="white"/>
        </w:rPr>
        <w:t xml:space="preserve"> </w:t>
      </w:r>
      <w:proofErr w:type="spellStart"/>
      <w:r>
        <w:rPr>
          <w:color w:val="222222"/>
          <w:highlight w:val="white"/>
        </w:rPr>
        <w:t>for</w:t>
      </w:r>
      <w:proofErr w:type="spellEnd"/>
      <w:r>
        <w:rPr>
          <w:color w:val="222222"/>
          <w:highlight w:val="white"/>
        </w:rPr>
        <w:t xml:space="preserve"> </w:t>
      </w:r>
      <w:proofErr w:type="spellStart"/>
      <w:r>
        <w:rPr>
          <w:color w:val="222222"/>
          <w:highlight w:val="white"/>
        </w:rPr>
        <w:t>individual</w:t>
      </w:r>
      <w:proofErr w:type="spellEnd"/>
      <w:r>
        <w:rPr>
          <w:color w:val="222222"/>
          <w:highlight w:val="white"/>
        </w:rPr>
        <w:t xml:space="preserve"> </w:t>
      </w:r>
      <w:proofErr w:type="spellStart"/>
      <w:r>
        <w:rPr>
          <w:color w:val="222222"/>
          <w:highlight w:val="white"/>
        </w:rPr>
        <w:t>and</w:t>
      </w:r>
      <w:proofErr w:type="spellEnd"/>
      <w:r>
        <w:rPr>
          <w:color w:val="222222"/>
          <w:highlight w:val="white"/>
        </w:rPr>
        <w:t xml:space="preserve"> </w:t>
      </w:r>
      <w:proofErr w:type="spellStart"/>
      <w:r>
        <w:rPr>
          <w:color w:val="222222"/>
          <w:highlight w:val="white"/>
        </w:rPr>
        <w:t>organizational</w:t>
      </w:r>
      <w:proofErr w:type="spellEnd"/>
      <w:r>
        <w:rPr>
          <w:color w:val="222222"/>
          <w:highlight w:val="white"/>
        </w:rPr>
        <w:t xml:space="preserve"> </w:t>
      </w:r>
      <w:proofErr w:type="spellStart"/>
      <w:r>
        <w:rPr>
          <w:color w:val="222222"/>
          <w:highlight w:val="white"/>
        </w:rPr>
        <w:t>development</w:t>
      </w:r>
      <w:proofErr w:type="spellEnd"/>
      <w:r>
        <w:rPr>
          <w:color w:val="222222"/>
          <w:highlight w:val="white"/>
        </w:rPr>
        <w:t xml:space="preserve">. </w:t>
      </w:r>
      <w:proofErr w:type="spellStart"/>
      <w:r>
        <w:rPr>
          <w:i/>
          <w:iCs/>
          <w:color w:val="222222"/>
          <w:highlight w:val="white"/>
        </w:rPr>
        <w:t>Journal</w:t>
      </w:r>
      <w:proofErr w:type="spellEnd"/>
      <w:r>
        <w:rPr>
          <w:i/>
          <w:iCs/>
          <w:color w:val="222222"/>
          <w:highlight w:val="white"/>
        </w:rPr>
        <w:t xml:space="preserve"> </w:t>
      </w:r>
      <w:proofErr w:type="spellStart"/>
      <w:r>
        <w:rPr>
          <w:i/>
          <w:iCs/>
          <w:color w:val="222222"/>
          <w:highlight w:val="white"/>
        </w:rPr>
        <w:t>of</w:t>
      </w:r>
      <w:proofErr w:type="spellEnd"/>
      <w:r>
        <w:rPr>
          <w:i/>
          <w:iCs/>
          <w:color w:val="222222"/>
          <w:highlight w:val="white"/>
        </w:rPr>
        <w:t xml:space="preserve"> </w:t>
      </w:r>
      <w:proofErr w:type="spellStart"/>
      <w:r>
        <w:rPr>
          <w:i/>
          <w:iCs/>
          <w:color w:val="222222"/>
          <w:highlight w:val="white"/>
        </w:rPr>
        <w:t>workplace</w:t>
      </w:r>
      <w:proofErr w:type="spellEnd"/>
      <w:r>
        <w:rPr>
          <w:i/>
          <w:iCs/>
          <w:color w:val="222222"/>
          <w:highlight w:val="white"/>
        </w:rPr>
        <w:t xml:space="preserve"> </w:t>
      </w:r>
      <w:proofErr w:type="spellStart"/>
      <w:r>
        <w:rPr>
          <w:i/>
          <w:iCs/>
          <w:color w:val="222222"/>
          <w:highlight w:val="white"/>
        </w:rPr>
        <w:t>learning</w:t>
      </w:r>
      <w:proofErr w:type="spellEnd"/>
      <w:r>
        <w:rPr>
          <w:color w:val="222222"/>
          <w:highlight w:val="white"/>
        </w:rPr>
        <w:t xml:space="preserve">, </w:t>
      </w:r>
      <w:r>
        <w:rPr>
          <w:i/>
          <w:iCs/>
          <w:color w:val="222222"/>
          <w:highlight w:val="white"/>
        </w:rPr>
        <w:t>29</w:t>
      </w:r>
      <w:r>
        <w:rPr>
          <w:color w:val="222222"/>
          <w:highlight w:val="white"/>
        </w:rPr>
        <w:t>(3), 217-234.</w:t>
      </w:r>
      <w:r>
        <w:rPr>
          <w:highlight w:val="white"/>
        </w:rPr>
        <w:t xml:space="preserve"> DOI:</w:t>
      </w:r>
      <w:hyperlink r:id="rId15">
        <w:r w:rsidR="006A7445">
          <w:rPr>
            <w:color w:val="1155CC"/>
            <w:highlight w:val="white"/>
            <w:u w:val="single"/>
          </w:rPr>
          <w:t>10.1108/JWL-07-2016-0062</w:t>
        </w:r>
      </w:hyperlink>
    </w:p>
    <w:p w14:paraId="184CF95D" w14:textId="77777777" w:rsidR="006A7445" w:rsidRDefault="006A7445" w:rsidP="00A63A44">
      <w:pPr>
        <w:spacing w:line="240" w:lineRule="auto"/>
        <w:ind w:left="720" w:hanging="720"/>
        <w:jc w:val="both"/>
        <w:rPr>
          <w:color w:val="222222"/>
          <w:highlight w:val="white"/>
        </w:rPr>
      </w:pPr>
    </w:p>
    <w:p w14:paraId="5C072A78" w14:textId="77777777" w:rsidR="006A7445" w:rsidRDefault="00000000" w:rsidP="00A63A44">
      <w:pPr>
        <w:spacing w:line="240" w:lineRule="auto"/>
        <w:ind w:left="720" w:hanging="720"/>
        <w:jc w:val="both"/>
        <w:rPr>
          <w:highlight w:val="white"/>
        </w:rPr>
      </w:pPr>
      <w:proofErr w:type="spellStart"/>
      <w:r>
        <w:rPr>
          <w:highlight w:val="white"/>
        </w:rPr>
        <w:t>Marsick</w:t>
      </w:r>
      <w:proofErr w:type="spellEnd"/>
      <w:r>
        <w:rPr>
          <w:highlight w:val="white"/>
        </w:rPr>
        <w:t xml:space="preserve">, V. J. in </w:t>
      </w:r>
      <w:proofErr w:type="spellStart"/>
      <w:r>
        <w:rPr>
          <w:highlight w:val="white"/>
        </w:rPr>
        <w:t>Watkins</w:t>
      </w:r>
      <w:proofErr w:type="spellEnd"/>
      <w:r>
        <w:rPr>
          <w:highlight w:val="white"/>
        </w:rPr>
        <w:t xml:space="preserve">, K. E. (2003). </w:t>
      </w:r>
      <w:proofErr w:type="spellStart"/>
      <w:r>
        <w:rPr>
          <w:highlight w:val="white"/>
        </w:rPr>
        <w:t>Demonstrating</w:t>
      </w:r>
      <w:proofErr w:type="spellEnd"/>
      <w:r>
        <w:rPr>
          <w:highlight w:val="white"/>
        </w:rPr>
        <w:t xml:space="preserve"> </w:t>
      </w:r>
      <w:proofErr w:type="spellStart"/>
      <w:r>
        <w:rPr>
          <w:highlight w:val="white"/>
        </w:rPr>
        <w:t>the</w:t>
      </w:r>
      <w:proofErr w:type="spellEnd"/>
      <w:r>
        <w:rPr>
          <w:highlight w:val="white"/>
        </w:rPr>
        <w:t xml:space="preserve"> </w:t>
      </w:r>
      <w:proofErr w:type="spellStart"/>
      <w:r>
        <w:rPr>
          <w:highlight w:val="white"/>
        </w:rPr>
        <w:t>value</w:t>
      </w:r>
      <w:proofErr w:type="spellEnd"/>
      <w:r>
        <w:rPr>
          <w:highlight w:val="white"/>
        </w:rPr>
        <w:t xml:space="preserve"> </w:t>
      </w:r>
      <w:proofErr w:type="spellStart"/>
      <w:r>
        <w:rPr>
          <w:highlight w:val="white"/>
        </w:rPr>
        <w:t>of</w:t>
      </w:r>
      <w:proofErr w:type="spellEnd"/>
      <w:r>
        <w:rPr>
          <w:highlight w:val="white"/>
        </w:rPr>
        <w:t xml:space="preserve"> </w:t>
      </w:r>
      <w:proofErr w:type="spellStart"/>
      <w:r>
        <w:rPr>
          <w:highlight w:val="white"/>
        </w:rPr>
        <w:t>an</w:t>
      </w:r>
      <w:proofErr w:type="spellEnd"/>
      <w:r>
        <w:rPr>
          <w:highlight w:val="white"/>
        </w:rPr>
        <w:t xml:space="preserve"> </w:t>
      </w:r>
      <w:proofErr w:type="spellStart"/>
      <w:r>
        <w:rPr>
          <w:highlight w:val="white"/>
        </w:rPr>
        <w:t>organization's</w:t>
      </w:r>
      <w:proofErr w:type="spellEnd"/>
      <w:r>
        <w:rPr>
          <w:highlight w:val="white"/>
        </w:rPr>
        <w:t xml:space="preserve"> </w:t>
      </w:r>
      <w:proofErr w:type="spellStart"/>
      <w:r>
        <w:rPr>
          <w:highlight w:val="white"/>
        </w:rPr>
        <w:t>learning</w:t>
      </w:r>
      <w:proofErr w:type="spellEnd"/>
      <w:r>
        <w:rPr>
          <w:highlight w:val="white"/>
        </w:rPr>
        <w:t xml:space="preserve"> </w:t>
      </w:r>
      <w:proofErr w:type="spellStart"/>
      <w:r>
        <w:rPr>
          <w:highlight w:val="white"/>
        </w:rPr>
        <w:t>culture</w:t>
      </w:r>
      <w:proofErr w:type="spellEnd"/>
      <w:r>
        <w:rPr>
          <w:highlight w:val="white"/>
        </w:rPr>
        <w:t xml:space="preserve">: </w:t>
      </w:r>
      <w:proofErr w:type="spellStart"/>
      <w:r>
        <w:rPr>
          <w:highlight w:val="white"/>
        </w:rPr>
        <w:t>the</w:t>
      </w:r>
      <w:proofErr w:type="spellEnd"/>
      <w:r>
        <w:rPr>
          <w:highlight w:val="white"/>
        </w:rPr>
        <w:t xml:space="preserve"> </w:t>
      </w:r>
      <w:proofErr w:type="spellStart"/>
      <w:r>
        <w:rPr>
          <w:highlight w:val="white"/>
        </w:rPr>
        <w:t>dimensions</w:t>
      </w:r>
      <w:proofErr w:type="spellEnd"/>
      <w:r>
        <w:rPr>
          <w:highlight w:val="white"/>
        </w:rPr>
        <w:t xml:space="preserve"> </w:t>
      </w:r>
      <w:proofErr w:type="spellStart"/>
      <w:r>
        <w:rPr>
          <w:highlight w:val="white"/>
        </w:rPr>
        <w:t>of</w:t>
      </w:r>
      <w:proofErr w:type="spellEnd"/>
      <w:r>
        <w:rPr>
          <w:highlight w:val="white"/>
        </w:rPr>
        <w:t xml:space="preserve"> </w:t>
      </w:r>
      <w:proofErr w:type="spellStart"/>
      <w:r>
        <w:rPr>
          <w:highlight w:val="white"/>
        </w:rPr>
        <w:t>the</w:t>
      </w:r>
      <w:proofErr w:type="spellEnd"/>
      <w:r>
        <w:rPr>
          <w:highlight w:val="white"/>
        </w:rPr>
        <w:t xml:space="preserve"> </w:t>
      </w:r>
      <w:proofErr w:type="spellStart"/>
      <w:r>
        <w:rPr>
          <w:highlight w:val="white"/>
        </w:rPr>
        <w:t>learning</w:t>
      </w:r>
      <w:proofErr w:type="spellEnd"/>
      <w:r>
        <w:rPr>
          <w:highlight w:val="white"/>
        </w:rPr>
        <w:t xml:space="preserve"> </w:t>
      </w:r>
      <w:proofErr w:type="spellStart"/>
      <w:r>
        <w:rPr>
          <w:highlight w:val="white"/>
        </w:rPr>
        <w:t>organization</w:t>
      </w:r>
      <w:proofErr w:type="spellEnd"/>
      <w:r>
        <w:rPr>
          <w:highlight w:val="white"/>
        </w:rPr>
        <w:t xml:space="preserve"> </w:t>
      </w:r>
      <w:proofErr w:type="spellStart"/>
      <w:r>
        <w:rPr>
          <w:highlight w:val="white"/>
        </w:rPr>
        <w:t>questionnaire</w:t>
      </w:r>
      <w:proofErr w:type="spellEnd"/>
      <w:r>
        <w:rPr>
          <w:highlight w:val="white"/>
        </w:rPr>
        <w:t xml:space="preserve">. </w:t>
      </w:r>
      <w:proofErr w:type="spellStart"/>
      <w:r>
        <w:rPr>
          <w:i/>
          <w:iCs/>
          <w:highlight w:val="white"/>
        </w:rPr>
        <w:t>Advances</w:t>
      </w:r>
      <w:proofErr w:type="spellEnd"/>
      <w:r>
        <w:rPr>
          <w:i/>
          <w:iCs/>
          <w:highlight w:val="white"/>
        </w:rPr>
        <w:t xml:space="preserve"> in </w:t>
      </w:r>
      <w:proofErr w:type="spellStart"/>
      <w:r>
        <w:rPr>
          <w:i/>
          <w:iCs/>
          <w:highlight w:val="white"/>
        </w:rPr>
        <w:t>developing</w:t>
      </w:r>
      <w:proofErr w:type="spellEnd"/>
      <w:r>
        <w:rPr>
          <w:i/>
          <w:iCs/>
          <w:highlight w:val="white"/>
        </w:rPr>
        <w:t xml:space="preserve"> human </w:t>
      </w:r>
      <w:proofErr w:type="spellStart"/>
      <w:r>
        <w:rPr>
          <w:i/>
          <w:iCs/>
          <w:highlight w:val="white"/>
        </w:rPr>
        <w:t>resources</w:t>
      </w:r>
      <w:proofErr w:type="spellEnd"/>
      <w:r>
        <w:rPr>
          <w:highlight w:val="white"/>
        </w:rPr>
        <w:t xml:space="preserve">, </w:t>
      </w:r>
      <w:r>
        <w:rPr>
          <w:i/>
          <w:iCs/>
          <w:highlight w:val="white"/>
        </w:rPr>
        <w:t>5</w:t>
      </w:r>
      <w:r>
        <w:rPr>
          <w:highlight w:val="white"/>
        </w:rPr>
        <w:t xml:space="preserve">(2), 132-151. </w:t>
      </w:r>
      <w:hyperlink r:id="rId16">
        <w:r w:rsidR="006A7445">
          <w:rPr>
            <w:color w:val="2C72B7"/>
            <w:highlight w:val="white"/>
          </w:rPr>
          <w:t>https://doi.org/10.1177/1523422303005002002</w:t>
        </w:r>
      </w:hyperlink>
    </w:p>
    <w:p w14:paraId="19F51497" w14:textId="77777777" w:rsidR="006A7445" w:rsidRDefault="006A7445">
      <w:pPr>
        <w:jc w:val="both"/>
        <w:rPr>
          <w:highlight w:val="white"/>
        </w:rPr>
      </w:pPr>
    </w:p>
    <w:p w14:paraId="6A2393E8" w14:textId="77777777" w:rsidR="006A7445" w:rsidRDefault="00000000" w:rsidP="00A63A44">
      <w:pPr>
        <w:ind w:left="720" w:hanging="720"/>
        <w:jc w:val="both"/>
        <w:rPr>
          <w:color w:val="222222"/>
          <w:highlight w:val="white"/>
        </w:rPr>
      </w:pPr>
      <w:proofErr w:type="spellStart"/>
      <w:r>
        <w:rPr>
          <w:color w:val="222222"/>
          <w:highlight w:val="white"/>
        </w:rPr>
        <w:t>Palmén</w:t>
      </w:r>
      <w:proofErr w:type="spellEnd"/>
      <w:r>
        <w:rPr>
          <w:color w:val="222222"/>
          <w:highlight w:val="white"/>
        </w:rPr>
        <w:t xml:space="preserve">, R., </w:t>
      </w:r>
      <w:proofErr w:type="spellStart"/>
      <w:r>
        <w:rPr>
          <w:color w:val="222222"/>
          <w:highlight w:val="white"/>
        </w:rPr>
        <w:t>Caprile</w:t>
      </w:r>
      <w:proofErr w:type="spellEnd"/>
      <w:r>
        <w:rPr>
          <w:color w:val="222222"/>
          <w:highlight w:val="white"/>
        </w:rPr>
        <w:t xml:space="preserve">, M., </w:t>
      </w:r>
      <w:proofErr w:type="spellStart"/>
      <w:r>
        <w:rPr>
          <w:color w:val="222222"/>
          <w:highlight w:val="white"/>
        </w:rPr>
        <w:t>Panadès</w:t>
      </w:r>
      <w:proofErr w:type="spellEnd"/>
      <w:r>
        <w:rPr>
          <w:color w:val="222222"/>
          <w:highlight w:val="white"/>
        </w:rPr>
        <w:t xml:space="preserve">, R., </w:t>
      </w:r>
      <w:proofErr w:type="spellStart"/>
      <w:r>
        <w:rPr>
          <w:color w:val="222222"/>
          <w:highlight w:val="white"/>
        </w:rPr>
        <w:t>Riesco</w:t>
      </w:r>
      <w:proofErr w:type="spellEnd"/>
      <w:r>
        <w:rPr>
          <w:color w:val="222222"/>
          <w:highlight w:val="white"/>
        </w:rPr>
        <w:t xml:space="preserve">, J., </w:t>
      </w:r>
      <w:proofErr w:type="spellStart"/>
      <w:r>
        <w:rPr>
          <w:color w:val="222222"/>
          <w:highlight w:val="white"/>
        </w:rPr>
        <w:t>Pollitzer</w:t>
      </w:r>
      <w:proofErr w:type="spellEnd"/>
      <w:r>
        <w:rPr>
          <w:color w:val="222222"/>
          <w:highlight w:val="white"/>
        </w:rPr>
        <w:t xml:space="preserve">, E., in </w:t>
      </w:r>
      <w:proofErr w:type="spellStart"/>
      <w:r>
        <w:rPr>
          <w:color w:val="222222"/>
          <w:highlight w:val="white"/>
        </w:rPr>
        <w:t>Vikenburg</w:t>
      </w:r>
      <w:proofErr w:type="spellEnd"/>
      <w:r>
        <w:rPr>
          <w:color w:val="222222"/>
          <w:highlight w:val="white"/>
        </w:rPr>
        <w:t xml:space="preserve">, C. (2019). </w:t>
      </w:r>
      <w:proofErr w:type="spellStart"/>
      <w:r>
        <w:rPr>
          <w:color w:val="222222"/>
          <w:highlight w:val="white"/>
        </w:rPr>
        <w:t>Conceptual</w:t>
      </w:r>
      <w:proofErr w:type="spellEnd"/>
      <w:r>
        <w:rPr>
          <w:color w:val="222222"/>
          <w:highlight w:val="white"/>
        </w:rPr>
        <w:t xml:space="preserve"> </w:t>
      </w:r>
      <w:proofErr w:type="spellStart"/>
      <w:r>
        <w:rPr>
          <w:color w:val="222222"/>
          <w:highlight w:val="white"/>
        </w:rPr>
        <w:t>framework</w:t>
      </w:r>
      <w:proofErr w:type="spellEnd"/>
      <w:r>
        <w:rPr>
          <w:color w:val="222222"/>
          <w:highlight w:val="white"/>
        </w:rPr>
        <w:t xml:space="preserve">: </w:t>
      </w:r>
      <w:proofErr w:type="spellStart"/>
      <w:r>
        <w:rPr>
          <w:color w:val="222222"/>
          <w:highlight w:val="white"/>
        </w:rPr>
        <w:t>Communities</w:t>
      </w:r>
      <w:proofErr w:type="spellEnd"/>
      <w:r>
        <w:rPr>
          <w:color w:val="222222"/>
          <w:highlight w:val="white"/>
        </w:rPr>
        <w:t xml:space="preserve"> </w:t>
      </w:r>
      <w:proofErr w:type="spellStart"/>
      <w:r>
        <w:rPr>
          <w:color w:val="222222"/>
          <w:highlight w:val="white"/>
        </w:rPr>
        <w:t>of</w:t>
      </w:r>
      <w:proofErr w:type="spellEnd"/>
      <w:r>
        <w:rPr>
          <w:color w:val="222222"/>
          <w:highlight w:val="white"/>
        </w:rPr>
        <w:t xml:space="preserve"> </w:t>
      </w:r>
      <w:proofErr w:type="spellStart"/>
      <w:r>
        <w:rPr>
          <w:color w:val="222222"/>
          <w:highlight w:val="white"/>
        </w:rPr>
        <w:t>practice</w:t>
      </w:r>
      <w:proofErr w:type="spellEnd"/>
      <w:r>
        <w:rPr>
          <w:color w:val="222222"/>
          <w:highlight w:val="white"/>
        </w:rPr>
        <w:t xml:space="preserve"> </w:t>
      </w:r>
      <w:proofErr w:type="spellStart"/>
      <w:r>
        <w:rPr>
          <w:color w:val="222222"/>
          <w:highlight w:val="white"/>
        </w:rPr>
        <w:t>for</w:t>
      </w:r>
      <w:proofErr w:type="spellEnd"/>
      <w:r>
        <w:rPr>
          <w:color w:val="222222"/>
          <w:highlight w:val="white"/>
        </w:rPr>
        <w:t xml:space="preserve"> </w:t>
      </w:r>
      <w:proofErr w:type="spellStart"/>
      <w:r>
        <w:rPr>
          <w:color w:val="222222"/>
          <w:highlight w:val="white"/>
        </w:rPr>
        <w:t>institutional</w:t>
      </w:r>
      <w:proofErr w:type="spellEnd"/>
      <w:r>
        <w:rPr>
          <w:color w:val="222222"/>
          <w:highlight w:val="white"/>
        </w:rPr>
        <w:t xml:space="preserve"> </w:t>
      </w:r>
      <w:proofErr w:type="spellStart"/>
      <w:r>
        <w:rPr>
          <w:color w:val="222222"/>
          <w:highlight w:val="white"/>
        </w:rPr>
        <w:t>change</w:t>
      </w:r>
      <w:proofErr w:type="spellEnd"/>
      <w:r>
        <w:rPr>
          <w:color w:val="222222"/>
          <w:highlight w:val="white"/>
        </w:rPr>
        <w:t xml:space="preserve"> (</w:t>
      </w:r>
      <w:proofErr w:type="spellStart"/>
      <w:r>
        <w:rPr>
          <w:color w:val="222222"/>
          <w:highlight w:val="white"/>
        </w:rPr>
        <w:t>Deliverable</w:t>
      </w:r>
      <w:proofErr w:type="spellEnd"/>
      <w:r>
        <w:rPr>
          <w:color w:val="222222"/>
          <w:highlight w:val="white"/>
        </w:rPr>
        <w:t xml:space="preserve"> D1.1). (ACT </w:t>
      </w:r>
      <w:r>
        <w:rPr>
          <w:color w:val="222222"/>
          <w:highlight w:val="white"/>
        </w:rPr>
        <w:lastRenderedPageBreak/>
        <w:t xml:space="preserve">Project: </w:t>
      </w:r>
      <w:proofErr w:type="spellStart"/>
      <w:r>
        <w:rPr>
          <w:color w:val="222222"/>
          <w:highlight w:val="white"/>
        </w:rPr>
        <w:t>Communities</w:t>
      </w:r>
      <w:proofErr w:type="spellEnd"/>
      <w:r>
        <w:rPr>
          <w:color w:val="222222"/>
          <w:highlight w:val="white"/>
        </w:rPr>
        <w:t xml:space="preserve"> </w:t>
      </w:r>
      <w:proofErr w:type="spellStart"/>
      <w:r>
        <w:rPr>
          <w:color w:val="222222"/>
          <w:highlight w:val="white"/>
        </w:rPr>
        <w:t>of</w:t>
      </w:r>
      <w:proofErr w:type="spellEnd"/>
      <w:r>
        <w:rPr>
          <w:color w:val="222222"/>
          <w:highlight w:val="white"/>
        </w:rPr>
        <w:t xml:space="preserve"> </w:t>
      </w:r>
      <w:proofErr w:type="spellStart"/>
      <w:r>
        <w:rPr>
          <w:color w:val="222222"/>
          <w:highlight w:val="white"/>
        </w:rPr>
        <w:t>PrACTice</w:t>
      </w:r>
      <w:proofErr w:type="spellEnd"/>
      <w:r>
        <w:rPr>
          <w:color w:val="222222"/>
          <w:highlight w:val="white"/>
        </w:rPr>
        <w:t xml:space="preserve"> </w:t>
      </w:r>
      <w:proofErr w:type="spellStart"/>
      <w:r>
        <w:rPr>
          <w:color w:val="222222"/>
          <w:highlight w:val="white"/>
        </w:rPr>
        <w:t>for</w:t>
      </w:r>
      <w:proofErr w:type="spellEnd"/>
      <w:r>
        <w:rPr>
          <w:color w:val="222222"/>
          <w:highlight w:val="white"/>
        </w:rPr>
        <w:t xml:space="preserve"> </w:t>
      </w:r>
      <w:proofErr w:type="spellStart"/>
      <w:r>
        <w:rPr>
          <w:color w:val="222222"/>
          <w:highlight w:val="white"/>
        </w:rPr>
        <w:t>Accelerating</w:t>
      </w:r>
      <w:proofErr w:type="spellEnd"/>
      <w:r>
        <w:rPr>
          <w:color w:val="222222"/>
          <w:highlight w:val="white"/>
        </w:rPr>
        <w:t xml:space="preserve"> </w:t>
      </w:r>
      <w:proofErr w:type="spellStart"/>
      <w:r>
        <w:rPr>
          <w:color w:val="222222"/>
          <w:highlight w:val="white"/>
        </w:rPr>
        <w:t>Gender</w:t>
      </w:r>
      <w:proofErr w:type="spellEnd"/>
      <w:r>
        <w:rPr>
          <w:color w:val="222222"/>
          <w:highlight w:val="white"/>
        </w:rPr>
        <w:t xml:space="preserve"> </w:t>
      </w:r>
      <w:proofErr w:type="spellStart"/>
      <w:r>
        <w:rPr>
          <w:color w:val="222222"/>
          <w:highlight w:val="white"/>
        </w:rPr>
        <w:t>Equality</w:t>
      </w:r>
      <w:proofErr w:type="spellEnd"/>
      <w:r>
        <w:rPr>
          <w:color w:val="222222"/>
          <w:highlight w:val="white"/>
        </w:rPr>
        <w:t xml:space="preserve"> </w:t>
      </w:r>
      <w:proofErr w:type="spellStart"/>
      <w:r>
        <w:rPr>
          <w:color w:val="222222"/>
          <w:highlight w:val="white"/>
        </w:rPr>
        <w:t>and</w:t>
      </w:r>
      <w:proofErr w:type="spellEnd"/>
      <w:r>
        <w:rPr>
          <w:color w:val="222222"/>
          <w:highlight w:val="white"/>
        </w:rPr>
        <w:t xml:space="preserve"> </w:t>
      </w:r>
      <w:proofErr w:type="spellStart"/>
      <w:r>
        <w:rPr>
          <w:color w:val="222222"/>
          <w:highlight w:val="white"/>
        </w:rPr>
        <w:t>Institutional</w:t>
      </w:r>
      <w:proofErr w:type="spellEnd"/>
      <w:r>
        <w:rPr>
          <w:color w:val="222222"/>
          <w:highlight w:val="white"/>
        </w:rPr>
        <w:t xml:space="preserve"> </w:t>
      </w:r>
      <w:proofErr w:type="spellStart"/>
      <w:r>
        <w:rPr>
          <w:color w:val="222222"/>
          <w:highlight w:val="white"/>
        </w:rPr>
        <w:t>Change</w:t>
      </w:r>
      <w:proofErr w:type="spellEnd"/>
      <w:r>
        <w:rPr>
          <w:color w:val="222222"/>
          <w:highlight w:val="white"/>
        </w:rPr>
        <w:t xml:space="preserve"> in </w:t>
      </w:r>
      <w:proofErr w:type="spellStart"/>
      <w:r>
        <w:rPr>
          <w:color w:val="222222"/>
          <w:highlight w:val="white"/>
        </w:rPr>
        <w:t>Research</w:t>
      </w:r>
      <w:proofErr w:type="spellEnd"/>
      <w:r>
        <w:rPr>
          <w:color w:val="222222"/>
          <w:highlight w:val="white"/>
        </w:rPr>
        <w:t xml:space="preserve"> </w:t>
      </w:r>
      <w:proofErr w:type="spellStart"/>
      <w:r>
        <w:rPr>
          <w:color w:val="222222"/>
          <w:highlight w:val="white"/>
        </w:rPr>
        <w:t>and</w:t>
      </w:r>
      <w:proofErr w:type="spellEnd"/>
      <w:r>
        <w:rPr>
          <w:color w:val="222222"/>
          <w:highlight w:val="white"/>
        </w:rPr>
        <w:t xml:space="preserve"> </w:t>
      </w:r>
      <w:proofErr w:type="spellStart"/>
      <w:r>
        <w:rPr>
          <w:color w:val="222222"/>
          <w:highlight w:val="white"/>
        </w:rPr>
        <w:t>Innovation</w:t>
      </w:r>
      <w:proofErr w:type="spellEnd"/>
      <w:r>
        <w:rPr>
          <w:color w:val="222222"/>
          <w:highlight w:val="white"/>
        </w:rPr>
        <w:t xml:space="preserve"> </w:t>
      </w:r>
      <w:proofErr w:type="spellStart"/>
      <w:r>
        <w:rPr>
          <w:color w:val="222222"/>
          <w:highlight w:val="white"/>
        </w:rPr>
        <w:t>across</w:t>
      </w:r>
      <w:proofErr w:type="spellEnd"/>
      <w:r>
        <w:rPr>
          <w:color w:val="222222"/>
          <w:highlight w:val="white"/>
        </w:rPr>
        <w:t xml:space="preserve"> </w:t>
      </w:r>
      <w:proofErr w:type="spellStart"/>
      <w:r>
        <w:rPr>
          <w:color w:val="222222"/>
          <w:highlight w:val="white"/>
        </w:rPr>
        <w:t>Europe</w:t>
      </w:r>
      <w:proofErr w:type="spellEnd"/>
      <w:r>
        <w:rPr>
          <w:color w:val="222222"/>
          <w:highlight w:val="white"/>
        </w:rPr>
        <w:t xml:space="preserve">). </w:t>
      </w:r>
      <w:proofErr w:type="spellStart"/>
      <w:r>
        <w:rPr>
          <w:color w:val="222222"/>
          <w:highlight w:val="white"/>
        </w:rPr>
        <w:t>Horizon</w:t>
      </w:r>
      <w:proofErr w:type="spellEnd"/>
      <w:r>
        <w:rPr>
          <w:color w:val="222222"/>
          <w:highlight w:val="white"/>
        </w:rPr>
        <w:t xml:space="preserve"> 2020, </w:t>
      </w:r>
      <w:proofErr w:type="spellStart"/>
      <w:r>
        <w:rPr>
          <w:color w:val="222222"/>
          <w:highlight w:val="white"/>
        </w:rPr>
        <w:t>European</w:t>
      </w:r>
      <w:proofErr w:type="spellEnd"/>
      <w:r>
        <w:rPr>
          <w:color w:val="222222"/>
          <w:highlight w:val="white"/>
        </w:rPr>
        <w:t xml:space="preserve"> </w:t>
      </w:r>
      <w:proofErr w:type="spellStart"/>
      <w:r>
        <w:rPr>
          <w:color w:val="222222"/>
          <w:highlight w:val="white"/>
        </w:rPr>
        <w:t>Commission</w:t>
      </w:r>
      <w:proofErr w:type="spellEnd"/>
      <w:r>
        <w:rPr>
          <w:color w:val="222222"/>
          <w:highlight w:val="white"/>
        </w:rPr>
        <w:t xml:space="preserve">. Dostopno na: </w:t>
      </w:r>
      <w:hyperlink r:id="rId17">
        <w:r w:rsidR="006A7445">
          <w:rPr>
            <w:color w:val="1155CC"/>
            <w:highlight w:val="white"/>
            <w:u w:val="single"/>
          </w:rPr>
          <w:t>https://cordis.europa.eu/project/id/788204/results</w:t>
        </w:r>
      </w:hyperlink>
      <w:r>
        <w:rPr>
          <w:color w:val="222222"/>
          <w:highlight w:val="white"/>
        </w:rPr>
        <w:t xml:space="preserve"> </w:t>
      </w:r>
    </w:p>
    <w:p w14:paraId="71EE2E2E" w14:textId="77777777" w:rsidR="006A7445" w:rsidRDefault="006A7445" w:rsidP="00A63A44">
      <w:pPr>
        <w:ind w:left="720" w:hanging="720"/>
        <w:jc w:val="both"/>
        <w:rPr>
          <w:color w:val="222222"/>
          <w:highlight w:val="white"/>
        </w:rPr>
      </w:pPr>
    </w:p>
    <w:p w14:paraId="596E8110" w14:textId="77777777" w:rsidR="006A7445" w:rsidRDefault="00000000" w:rsidP="00A63A44">
      <w:pPr>
        <w:spacing w:line="240" w:lineRule="auto"/>
        <w:ind w:left="720" w:hanging="720"/>
        <w:jc w:val="both"/>
      </w:pPr>
      <w:proofErr w:type="spellStart"/>
      <w:r>
        <w:rPr>
          <w:color w:val="222222"/>
          <w:highlight w:val="white"/>
        </w:rPr>
        <w:t>Pyrko</w:t>
      </w:r>
      <w:proofErr w:type="spellEnd"/>
      <w:r>
        <w:rPr>
          <w:color w:val="222222"/>
          <w:highlight w:val="white"/>
        </w:rPr>
        <w:t xml:space="preserve">, I., </w:t>
      </w:r>
      <w:proofErr w:type="spellStart"/>
      <w:r>
        <w:rPr>
          <w:color w:val="222222"/>
          <w:highlight w:val="white"/>
        </w:rPr>
        <w:t>Dörfler</w:t>
      </w:r>
      <w:proofErr w:type="spellEnd"/>
      <w:r>
        <w:rPr>
          <w:color w:val="222222"/>
          <w:highlight w:val="white"/>
        </w:rPr>
        <w:t xml:space="preserve">, V., in Eden, C. (2017). </w:t>
      </w:r>
      <w:proofErr w:type="spellStart"/>
      <w:r>
        <w:rPr>
          <w:color w:val="222222"/>
          <w:highlight w:val="white"/>
        </w:rPr>
        <w:t>Thinking</w:t>
      </w:r>
      <w:proofErr w:type="spellEnd"/>
      <w:r>
        <w:rPr>
          <w:color w:val="222222"/>
          <w:highlight w:val="white"/>
        </w:rPr>
        <w:t xml:space="preserve"> </w:t>
      </w:r>
      <w:proofErr w:type="spellStart"/>
      <w:r>
        <w:rPr>
          <w:color w:val="222222"/>
          <w:highlight w:val="white"/>
        </w:rPr>
        <w:t>together</w:t>
      </w:r>
      <w:proofErr w:type="spellEnd"/>
      <w:r>
        <w:rPr>
          <w:color w:val="222222"/>
          <w:highlight w:val="white"/>
        </w:rPr>
        <w:t xml:space="preserve">: </w:t>
      </w:r>
      <w:proofErr w:type="spellStart"/>
      <w:r>
        <w:rPr>
          <w:color w:val="222222"/>
          <w:highlight w:val="white"/>
        </w:rPr>
        <w:t>What</w:t>
      </w:r>
      <w:proofErr w:type="spellEnd"/>
      <w:r>
        <w:rPr>
          <w:color w:val="222222"/>
          <w:highlight w:val="white"/>
        </w:rPr>
        <w:t xml:space="preserve"> </w:t>
      </w:r>
      <w:proofErr w:type="spellStart"/>
      <w:r>
        <w:rPr>
          <w:color w:val="222222"/>
          <w:highlight w:val="white"/>
        </w:rPr>
        <w:t>makes</w:t>
      </w:r>
      <w:proofErr w:type="spellEnd"/>
      <w:r>
        <w:rPr>
          <w:color w:val="222222"/>
          <w:highlight w:val="white"/>
        </w:rPr>
        <w:t xml:space="preserve"> </w:t>
      </w:r>
      <w:proofErr w:type="spellStart"/>
      <w:r>
        <w:rPr>
          <w:color w:val="222222"/>
          <w:highlight w:val="white"/>
        </w:rPr>
        <w:t>Communities</w:t>
      </w:r>
      <w:proofErr w:type="spellEnd"/>
      <w:r>
        <w:rPr>
          <w:color w:val="222222"/>
          <w:highlight w:val="white"/>
        </w:rPr>
        <w:t xml:space="preserve"> </w:t>
      </w:r>
      <w:proofErr w:type="spellStart"/>
      <w:r>
        <w:rPr>
          <w:color w:val="222222"/>
          <w:highlight w:val="white"/>
        </w:rPr>
        <w:t>of</w:t>
      </w:r>
      <w:proofErr w:type="spellEnd"/>
      <w:r>
        <w:rPr>
          <w:color w:val="222222"/>
          <w:highlight w:val="white"/>
        </w:rPr>
        <w:t xml:space="preserve"> </w:t>
      </w:r>
      <w:proofErr w:type="spellStart"/>
      <w:r>
        <w:rPr>
          <w:color w:val="222222"/>
          <w:highlight w:val="white"/>
        </w:rPr>
        <w:t>Practice</w:t>
      </w:r>
      <w:proofErr w:type="spellEnd"/>
      <w:r>
        <w:rPr>
          <w:color w:val="222222"/>
          <w:highlight w:val="white"/>
        </w:rPr>
        <w:t xml:space="preserve"> </w:t>
      </w:r>
      <w:proofErr w:type="spellStart"/>
      <w:r>
        <w:rPr>
          <w:color w:val="222222"/>
          <w:highlight w:val="white"/>
        </w:rPr>
        <w:t>work</w:t>
      </w:r>
      <w:proofErr w:type="spellEnd"/>
      <w:r>
        <w:rPr>
          <w:color w:val="222222"/>
          <w:highlight w:val="white"/>
        </w:rPr>
        <w:t xml:space="preserve">?. </w:t>
      </w:r>
      <w:r>
        <w:rPr>
          <w:i/>
          <w:iCs/>
          <w:color w:val="222222"/>
          <w:highlight w:val="white"/>
        </w:rPr>
        <w:t xml:space="preserve">Human </w:t>
      </w:r>
      <w:proofErr w:type="spellStart"/>
      <w:r>
        <w:rPr>
          <w:i/>
          <w:iCs/>
          <w:color w:val="222222"/>
          <w:highlight w:val="white"/>
        </w:rPr>
        <w:t>relations</w:t>
      </w:r>
      <w:proofErr w:type="spellEnd"/>
      <w:r>
        <w:rPr>
          <w:color w:val="222222"/>
          <w:highlight w:val="white"/>
        </w:rPr>
        <w:t xml:space="preserve">, </w:t>
      </w:r>
      <w:r>
        <w:rPr>
          <w:i/>
          <w:iCs/>
          <w:color w:val="222222"/>
          <w:highlight w:val="white"/>
        </w:rPr>
        <w:t>70</w:t>
      </w:r>
      <w:r>
        <w:rPr>
          <w:color w:val="222222"/>
          <w:highlight w:val="white"/>
        </w:rPr>
        <w:t xml:space="preserve">(4), 389-409. </w:t>
      </w:r>
      <w:hyperlink r:id="rId18">
        <w:r w:rsidR="006A7445">
          <w:rPr>
            <w:color w:val="1155CC"/>
            <w:u w:val="single"/>
          </w:rPr>
          <w:t>https://journals.sagepub.com/doi/full/10.1177/0018726716661040</w:t>
        </w:r>
      </w:hyperlink>
      <w:r>
        <w:t xml:space="preserve"> </w:t>
      </w:r>
    </w:p>
    <w:p w14:paraId="7F5A2172" w14:textId="77777777" w:rsidR="006A7445" w:rsidRDefault="006A7445" w:rsidP="00A63A44">
      <w:pPr>
        <w:spacing w:line="240" w:lineRule="auto"/>
        <w:ind w:left="720" w:hanging="720"/>
        <w:jc w:val="both"/>
        <w:rPr>
          <w:color w:val="222222"/>
          <w:highlight w:val="white"/>
        </w:rPr>
      </w:pPr>
    </w:p>
    <w:p w14:paraId="3FC1FC10" w14:textId="77777777" w:rsidR="006A7445" w:rsidRDefault="00000000" w:rsidP="00A63A44">
      <w:pPr>
        <w:spacing w:line="240" w:lineRule="auto"/>
        <w:ind w:left="720" w:hanging="720"/>
        <w:jc w:val="both"/>
        <w:rPr>
          <w:color w:val="222222"/>
          <w:highlight w:val="white"/>
        </w:rPr>
      </w:pPr>
      <w:proofErr w:type="spellStart"/>
      <w:r>
        <w:rPr>
          <w:color w:val="222222"/>
          <w:highlight w:val="white"/>
        </w:rPr>
        <w:t>Reidl</w:t>
      </w:r>
      <w:proofErr w:type="spellEnd"/>
      <w:r>
        <w:rPr>
          <w:color w:val="222222"/>
          <w:highlight w:val="white"/>
        </w:rPr>
        <w:t xml:space="preserve">, S., </w:t>
      </w:r>
      <w:proofErr w:type="spellStart"/>
      <w:r>
        <w:rPr>
          <w:color w:val="222222"/>
          <w:highlight w:val="white"/>
        </w:rPr>
        <w:t>Krzaklewska</w:t>
      </w:r>
      <w:proofErr w:type="spellEnd"/>
      <w:r>
        <w:rPr>
          <w:color w:val="222222"/>
          <w:highlight w:val="white"/>
        </w:rPr>
        <w:t xml:space="preserve">, E., </w:t>
      </w:r>
      <w:proofErr w:type="spellStart"/>
      <w:r>
        <w:rPr>
          <w:color w:val="222222"/>
          <w:highlight w:val="white"/>
        </w:rPr>
        <w:t>Schön</w:t>
      </w:r>
      <w:proofErr w:type="spellEnd"/>
      <w:r>
        <w:rPr>
          <w:color w:val="222222"/>
          <w:highlight w:val="white"/>
        </w:rPr>
        <w:t xml:space="preserve">, L. in </w:t>
      </w:r>
      <w:proofErr w:type="spellStart"/>
      <w:r>
        <w:rPr>
          <w:color w:val="222222"/>
          <w:highlight w:val="white"/>
        </w:rPr>
        <w:t>Warat</w:t>
      </w:r>
      <w:proofErr w:type="spellEnd"/>
      <w:r>
        <w:rPr>
          <w:color w:val="222222"/>
          <w:highlight w:val="white"/>
        </w:rPr>
        <w:t xml:space="preserve">, M. (2019). ACT: </w:t>
      </w:r>
      <w:proofErr w:type="spellStart"/>
      <w:r>
        <w:rPr>
          <w:color w:val="222222"/>
          <w:highlight w:val="white"/>
        </w:rPr>
        <w:t>Communities</w:t>
      </w:r>
      <w:proofErr w:type="spellEnd"/>
      <w:r>
        <w:rPr>
          <w:color w:val="222222"/>
          <w:highlight w:val="white"/>
        </w:rPr>
        <w:t xml:space="preserve"> </w:t>
      </w:r>
      <w:proofErr w:type="spellStart"/>
      <w:r>
        <w:rPr>
          <w:color w:val="222222"/>
          <w:highlight w:val="white"/>
        </w:rPr>
        <w:t>of</w:t>
      </w:r>
      <w:proofErr w:type="spellEnd"/>
      <w:r>
        <w:rPr>
          <w:color w:val="222222"/>
          <w:highlight w:val="white"/>
        </w:rPr>
        <w:t xml:space="preserve"> </w:t>
      </w:r>
      <w:proofErr w:type="spellStart"/>
      <w:r>
        <w:rPr>
          <w:color w:val="222222"/>
          <w:highlight w:val="white"/>
        </w:rPr>
        <w:t>Practice</w:t>
      </w:r>
      <w:proofErr w:type="spellEnd"/>
      <w:r>
        <w:rPr>
          <w:color w:val="222222"/>
          <w:highlight w:val="white"/>
        </w:rPr>
        <w:t xml:space="preserve"> </w:t>
      </w:r>
      <w:proofErr w:type="spellStart"/>
      <w:r>
        <w:rPr>
          <w:color w:val="222222"/>
          <w:highlight w:val="white"/>
        </w:rPr>
        <w:t>for</w:t>
      </w:r>
      <w:proofErr w:type="spellEnd"/>
      <w:r>
        <w:rPr>
          <w:color w:val="222222"/>
          <w:highlight w:val="white"/>
        </w:rPr>
        <w:t xml:space="preserve"> </w:t>
      </w:r>
      <w:proofErr w:type="spellStart"/>
      <w:r>
        <w:rPr>
          <w:color w:val="222222"/>
          <w:highlight w:val="white"/>
        </w:rPr>
        <w:t>Accelerating</w:t>
      </w:r>
      <w:proofErr w:type="spellEnd"/>
      <w:r>
        <w:rPr>
          <w:color w:val="222222"/>
          <w:highlight w:val="white"/>
        </w:rPr>
        <w:t xml:space="preserve"> </w:t>
      </w:r>
      <w:proofErr w:type="spellStart"/>
      <w:r>
        <w:rPr>
          <w:color w:val="222222"/>
          <w:highlight w:val="white"/>
        </w:rPr>
        <w:t>Gender</w:t>
      </w:r>
      <w:proofErr w:type="spellEnd"/>
      <w:r>
        <w:rPr>
          <w:color w:val="222222"/>
          <w:highlight w:val="white"/>
        </w:rPr>
        <w:t xml:space="preserve"> </w:t>
      </w:r>
      <w:proofErr w:type="spellStart"/>
      <w:r>
        <w:rPr>
          <w:color w:val="222222"/>
          <w:highlight w:val="white"/>
        </w:rPr>
        <w:t>Equality</w:t>
      </w:r>
      <w:proofErr w:type="spellEnd"/>
      <w:r>
        <w:rPr>
          <w:color w:val="222222"/>
          <w:highlight w:val="white"/>
        </w:rPr>
        <w:t xml:space="preserve"> </w:t>
      </w:r>
      <w:proofErr w:type="spellStart"/>
      <w:r>
        <w:rPr>
          <w:color w:val="222222"/>
          <w:highlight w:val="white"/>
        </w:rPr>
        <w:t>and</w:t>
      </w:r>
      <w:proofErr w:type="spellEnd"/>
      <w:r>
        <w:rPr>
          <w:color w:val="222222"/>
          <w:highlight w:val="white"/>
        </w:rPr>
        <w:t xml:space="preserve"> </w:t>
      </w:r>
      <w:proofErr w:type="spellStart"/>
      <w:r>
        <w:rPr>
          <w:color w:val="222222"/>
          <w:highlight w:val="white"/>
        </w:rPr>
        <w:t>Institutional</w:t>
      </w:r>
      <w:proofErr w:type="spellEnd"/>
      <w:r>
        <w:rPr>
          <w:color w:val="222222"/>
          <w:highlight w:val="white"/>
        </w:rPr>
        <w:t xml:space="preserve"> </w:t>
      </w:r>
      <w:proofErr w:type="spellStart"/>
      <w:r>
        <w:rPr>
          <w:color w:val="222222"/>
          <w:highlight w:val="white"/>
        </w:rPr>
        <w:t>Change</w:t>
      </w:r>
      <w:proofErr w:type="spellEnd"/>
      <w:r>
        <w:rPr>
          <w:color w:val="222222"/>
          <w:highlight w:val="white"/>
        </w:rPr>
        <w:t xml:space="preserve"> in </w:t>
      </w:r>
      <w:proofErr w:type="spellStart"/>
      <w:r>
        <w:rPr>
          <w:color w:val="222222"/>
          <w:highlight w:val="white"/>
        </w:rPr>
        <w:t>Research</w:t>
      </w:r>
      <w:proofErr w:type="spellEnd"/>
      <w:r>
        <w:rPr>
          <w:color w:val="222222"/>
          <w:highlight w:val="white"/>
        </w:rPr>
        <w:t xml:space="preserve"> </w:t>
      </w:r>
      <w:proofErr w:type="spellStart"/>
      <w:r>
        <w:rPr>
          <w:color w:val="222222"/>
          <w:highlight w:val="white"/>
        </w:rPr>
        <w:t>and</w:t>
      </w:r>
      <w:proofErr w:type="spellEnd"/>
      <w:r>
        <w:rPr>
          <w:color w:val="222222"/>
          <w:highlight w:val="white"/>
        </w:rPr>
        <w:t xml:space="preserve"> </w:t>
      </w:r>
      <w:proofErr w:type="spellStart"/>
      <w:r>
        <w:rPr>
          <w:color w:val="222222"/>
          <w:highlight w:val="white"/>
        </w:rPr>
        <w:t>Innovation</w:t>
      </w:r>
      <w:proofErr w:type="spellEnd"/>
      <w:r>
        <w:rPr>
          <w:color w:val="222222"/>
          <w:highlight w:val="white"/>
        </w:rPr>
        <w:t xml:space="preserve"> </w:t>
      </w:r>
      <w:proofErr w:type="spellStart"/>
      <w:r>
        <w:rPr>
          <w:color w:val="222222"/>
          <w:highlight w:val="white"/>
        </w:rPr>
        <w:t>across</w:t>
      </w:r>
      <w:proofErr w:type="spellEnd"/>
      <w:r>
        <w:rPr>
          <w:color w:val="222222"/>
          <w:highlight w:val="white"/>
        </w:rPr>
        <w:t xml:space="preserve"> </w:t>
      </w:r>
      <w:proofErr w:type="spellStart"/>
      <w:r>
        <w:rPr>
          <w:color w:val="222222"/>
          <w:highlight w:val="white"/>
        </w:rPr>
        <w:t>Europe</w:t>
      </w:r>
      <w:proofErr w:type="spellEnd"/>
      <w:r>
        <w:rPr>
          <w:color w:val="222222"/>
          <w:highlight w:val="white"/>
        </w:rPr>
        <w:t xml:space="preserve"> (</w:t>
      </w:r>
      <w:proofErr w:type="spellStart"/>
      <w:r>
        <w:rPr>
          <w:color w:val="222222"/>
          <w:highlight w:val="white"/>
        </w:rPr>
        <w:t>Deliverable</w:t>
      </w:r>
      <w:proofErr w:type="spellEnd"/>
      <w:r>
        <w:rPr>
          <w:color w:val="222222"/>
          <w:highlight w:val="white"/>
        </w:rPr>
        <w:t xml:space="preserve"> D1.2, </w:t>
      </w:r>
      <w:proofErr w:type="spellStart"/>
      <w:r>
        <w:rPr>
          <w:color w:val="222222"/>
          <w:highlight w:val="white"/>
        </w:rPr>
        <w:t>Version</w:t>
      </w:r>
      <w:proofErr w:type="spellEnd"/>
      <w:r>
        <w:rPr>
          <w:color w:val="222222"/>
          <w:highlight w:val="white"/>
        </w:rPr>
        <w:t xml:space="preserve"> 2.0). </w:t>
      </w:r>
      <w:proofErr w:type="spellStart"/>
      <w:r>
        <w:rPr>
          <w:color w:val="222222"/>
          <w:highlight w:val="white"/>
        </w:rPr>
        <w:t>Horizon</w:t>
      </w:r>
      <w:proofErr w:type="spellEnd"/>
      <w:r>
        <w:rPr>
          <w:color w:val="222222"/>
          <w:highlight w:val="white"/>
        </w:rPr>
        <w:t xml:space="preserve"> 2020, </w:t>
      </w:r>
      <w:proofErr w:type="spellStart"/>
      <w:r>
        <w:rPr>
          <w:color w:val="222222"/>
          <w:highlight w:val="white"/>
        </w:rPr>
        <w:t>European</w:t>
      </w:r>
      <w:proofErr w:type="spellEnd"/>
      <w:r>
        <w:rPr>
          <w:color w:val="222222"/>
          <w:highlight w:val="white"/>
        </w:rPr>
        <w:t xml:space="preserve"> </w:t>
      </w:r>
      <w:proofErr w:type="spellStart"/>
      <w:r>
        <w:rPr>
          <w:color w:val="222222"/>
          <w:highlight w:val="white"/>
        </w:rPr>
        <w:t>Commission</w:t>
      </w:r>
      <w:proofErr w:type="spellEnd"/>
      <w:r>
        <w:rPr>
          <w:color w:val="222222"/>
          <w:highlight w:val="white"/>
        </w:rPr>
        <w:t xml:space="preserve">. Dostopno na: </w:t>
      </w:r>
      <w:hyperlink r:id="rId19">
        <w:r w:rsidR="006A7445">
          <w:rPr>
            <w:color w:val="1155CC"/>
            <w:highlight w:val="white"/>
            <w:u w:val="single"/>
          </w:rPr>
          <w:t>https://cordis.europa.eu/project/id/788204/results</w:t>
        </w:r>
      </w:hyperlink>
      <w:r>
        <w:rPr>
          <w:color w:val="222222"/>
          <w:highlight w:val="white"/>
        </w:rPr>
        <w:t xml:space="preserve"> </w:t>
      </w:r>
    </w:p>
    <w:p w14:paraId="0FEFD027" w14:textId="77777777" w:rsidR="006A7445" w:rsidRDefault="006A7445" w:rsidP="00A63A44">
      <w:pPr>
        <w:spacing w:line="240" w:lineRule="auto"/>
        <w:ind w:left="720" w:hanging="720"/>
        <w:jc w:val="both"/>
        <w:rPr>
          <w:color w:val="222222"/>
          <w:highlight w:val="white"/>
        </w:rPr>
      </w:pPr>
    </w:p>
    <w:p w14:paraId="7E110F94" w14:textId="77777777" w:rsidR="006A7445" w:rsidRDefault="00000000" w:rsidP="00A63A44">
      <w:pPr>
        <w:spacing w:line="240" w:lineRule="auto"/>
        <w:ind w:left="720" w:hanging="720"/>
        <w:jc w:val="both"/>
        <w:rPr>
          <w:color w:val="222222"/>
          <w:highlight w:val="white"/>
        </w:rPr>
      </w:pPr>
      <w:r>
        <w:rPr>
          <w:color w:val="222222"/>
          <w:highlight w:val="white"/>
        </w:rPr>
        <w:t xml:space="preserve">Roberts, J. (2006). </w:t>
      </w:r>
      <w:proofErr w:type="spellStart"/>
      <w:r>
        <w:rPr>
          <w:color w:val="222222"/>
          <w:highlight w:val="white"/>
        </w:rPr>
        <w:t>Limits</w:t>
      </w:r>
      <w:proofErr w:type="spellEnd"/>
      <w:r>
        <w:rPr>
          <w:color w:val="222222"/>
          <w:highlight w:val="white"/>
        </w:rPr>
        <w:t xml:space="preserve"> to </w:t>
      </w:r>
      <w:proofErr w:type="spellStart"/>
      <w:r>
        <w:rPr>
          <w:color w:val="222222"/>
          <w:highlight w:val="white"/>
        </w:rPr>
        <w:t>communities</w:t>
      </w:r>
      <w:proofErr w:type="spellEnd"/>
      <w:r>
        <w:rPr>
          <w:color w:val="222222"/>
          <w:highlight w:val="white"/>
        </w:rPr>
        <w:t xml:space="preserve"> </w:t>
      </w:r>
      <w:proofErr w:type="spellStart"/>
      <w:r>
        <w:rPr>
          <w:color w:val="222222"/>
          <w:highlight w:val="white"/>
        </w:rPr>
        <w:t>of</w:t>
      </w:r>
      <w:proofErr w:type="spellEnd"/>
      <w:r>
        <w:rPr>
          <w:color w:val="222222"/>
          <w:highlight w:val="white"/>
        </w:rPr>
        <w:t xml:space="preserve"> </w:t>
      </w:r>
      <w:proofErr w:type="spellStart"/>
      <w:r>
        <w:rPr>
          <w:color w:val="222222"/>
          <w:highlight w:val="white"/>
        </w:rPr>
        <w:t>practice</w:t>
      </w:r>
      <w:proofErr w:type="spellEnd"/>
      <w:r>
        <w:rPr>
          <w:color w:val="222222"/>
          <w:highlight w:val="white"/>
        </w:rPr>
        <w:t xml:space="preserve">. </w:t>
      </w:r>
      <w:proofErr w:type="spellStart"/>
      <w:r>
        <w:rPr>
          <w:i/>
          <w:iCs/>
          <w:color w:val="222222"/>
          <w:highlight w:val="white"/>
        </w:rPr>
        <w:t>Journal</w:t>
      </w:r>
      <w:proofErr w:type="spellEnd"/>
      <w:r>
        <w:rPr>
          <w:i/>
          <w:iCs/>
          <w:color w:val="222222"/>
          <w:highlight w:val="white"/>
        </w:rPr>
        <w:t xml:space="preserve"> </w:t>
      </w:r>
      <w:proofErr w:type="spellStart"/>
      <w:r>
        <w:rPr>
          <w:i/>
          <w:iCs/>
          <w:color w:val="222222"/>
          <w:highlight w:val="white"/>
        </w:rPr>
        <w:t>of</w:t>
      </w:r>
      <w:proofErr w:type="spellEnd"/>
      <w:r>
        <w:rPr>
          <w:i/>
          <w:iCs/>
          <w:color w:val="222222"/>
          <w:highlight w:val="white"/>
        </w:rPr>
        <w:t xml:space="preserve"> management </w:t>
      </w:r>
      <w:proofErr w:type="spellStart"/>
      <w:r>
        <w:rPr>
          <w:i/>
          <w:iCs/>
          <w:color w:val="222222"/>
          <w:highlight w:val="white"/>
        </w:rPr>
        <w:t>studies</w:t>
      </w:r>
      <w:proofErr w:type="spellEnd"/>
      <w:r>
        <w:rPr>
          <w:color w:val="222222"/>
          <w:highlight w:val="white"/>
        </w:rPr>
        <w:t xml:space="preserve">, </w:t>
      </w:r>
      <w:r>
        <w:rPr>
          <w:i/>
          <w:iCs/>
          <w:color w:val="222222"/>
          <w:highlight w:val="white"/>
        </w:rPr>
        <w:t>43</w:t>
      </w:r>
      <w:r>
        <w:rPr>
          <w:color w:val="222222"/>
          <w:highlight w:val="white"/>
        </w:rPr>
        <w:t xml:space="preserve">(3), 623-639. </w:t>
      </w:r>
      <w:hyperlink r:id="rId20">
        <w:r w:rsidR="006A7445">
          <w:rPr>
            <w:color w:val="123D80"/>
            <w:highlight w:val="white"/>
          </w:rPr>
          <w:t>https://doi.org/10.1111/j.1467-</w:t>
        </w:r>
      </w:hyperlink>
    </w:p>
    <w:p w14:paraId="6F8F8F6F" w14:textId="77777777" w:rsidR="006A7445" w:rsidRDefault="006A7445" w:rsidP="00A63A44">
      <w:pPr>
        <w:spacing w:line="240" w:lineRule="auto"/>
        <w:ind w:left="720" w:hanging="720"/>
        <w:jc w:val="both"/>
        <w:rPr>
          <w:color w:val="222222"/>
          <w:highlight w:val="white"/>
        </w:rPr>
      </w:pPr>
    </w:p>
    <w:p w14:paraId="717E7A1A" w14:textId="77777777" w:rsidR="006A7445" w:rsidRDefault="00000000" w:rsidP="00A63A44">
      <w:pPr>
        <w:spacing w:line="240" w:lineRule="auto"/>
        <w:ind w:left="720" w:hanging="720"/>
        <w:jc w:val="both"/>
        <w:rPr>
          <w:color w:val="222222"/>
          <w:highlight w:val="white"/>
        </w:rPr>
      </w:pPr>
      <w:proofErr w:type="spellStart"/>
      <w:r>
        <w:rPr>
          <w:color w:val="222222"/>
          <w:highlight w:val="white"/>
        </w:rPr>
        <w:t>Ropes</w:t>
      </w:r>
      <w:proofErr w:type="spellEnd"/>
      <w:r>
        <w:rPr>
          <w:color w:val="222222"/>
          <w:highlight w:val="white"/>
        </w:rPr>
        <w:t xml:space="preserve">, D. C. (2011). </w:t>
      </w:r>
      <w:proofErr w:type="spellStart"/>
      <w:r>
        <w:rPr>
          <w:color w:val="222222"/>
          <w:highlight w:val="white"/>
        </w:rPr>
        <w:t>Measuring</w:t>
      </w:r>
      <w:proofErr w:type="spellEnd"/>
      <w:r>
        <w:rPr>
          <w:color w:val="222222"/>
          <w:highlight w:val="white"/>
        </w:rPr>
        <w:t xml:space="preserve"> </w:t>
      </w:r>
      <w:proofErr w:type="spellStart"/>
      <w:r>
        <w:rPr>
          <w:color w:val="222222"/>
          <w:highlight w:val="white"/>
        </w:rPr>
        <w:t>the</w:t>
      </w:r>
      <w:proofErr w:type="spellEnd"/>
      <w:r>
        <w:rPr>
          <w:color w:val="222222"/>
          <w:highlight w:val="white"/>
        </w:rPr>
        <w:t xml:space="preserve"> </w:t>
      </w:r>
      <w:proofErr w:type="spellStart"/>
      <w:r>
        <w:rPr>
          <w:color w:val="222222"/>
          <w:highlight w:val="white"/>
        </w:rPr>
        <w:t>impact</w:t>
      </w:r>
      <w:proofErr w:type="spellEnd"/>
      <w:r>
        <w:rPr>
          <w:color w:val="222222"/>
          <w:highlight w:val="white"/>
        </w:rPr>
        <w:t xml:space="preserve"> </w:t>
      </w:r>
      <w:proofErr w:type="spellStart"/>
      <w:r>
        <w:rPr>
          <w:color w:val="222222"/>
          <w:highlight w:val="white"/>
        </w:rPr>
        <w:t>of</w:t>
      </w:r>
      <w:proofErr w:type="spellEnd"/>
      <w:r>
        <w:rPr>
          <w:color w:val="222222"/>
          <w:highlight w:val="white"/>
        </w:rPr>
        <w:t xml:space="preserve"> </w:t>
      </w:r>
      <w:proofErr w:type="spellStart"/>
      <w:r>
        <w:rPr>
          <w:color w:val="222222"/>
          <w:highlight w:val="white"/>
        </w:rPr>
        <w:t>communities</w:t>
      </w:r>
      <w:proofErr w:type="spellEnd"/>
      <w:r>
        <w:rPr>
          <w:color w:val="222222"/>
          <w:highlight w:val="white"/>
        </w:rPr>
        <w:t xml:space="preserve"> </w:t>
      </w:r>
      <w:proofErr w:type="spellStart"/>
      <w:r>
        <w:rPr>
          <w:color w:val="222222"/>
          <w:highlight w:val="white"/>
        </w:rPr>
        <w:t>of</w:t>
      </w:r>
      <w:proofErr w:type="spellEnd"/>
      <w:r>
        <w:rPr>
          <w:color w:val="222222"/>
          <w:highlight w:val="white"/>
        </w:rPr>
        <w:t xml:space="preserve"> </w:t>
      </w:r>
      <w:proofErr w:type="spellStart"/>
      <w:r>
        <w:rPr>
          <w:color w:val="222222"/>
          <w:highlight w:val="white"/>
        </w:rPr>
        <w:t>practice</w:t>
      </w:r>
      <w:proofErr w:type="spellEnd"/>
      <w:r>
        <w:rPr>
          <w:color w:val="222222"/>
          <w:highlight w:val="white"/>
        </w:rPr>
        <w:t xml:space="preserve">: a </w:t>
      </w:r>
      <w:proofErr w:type="spellStart"/>
      <w:r>
        <w:rPr>
          <w:color w:val="222222"/>
          <w:highlight w:val="white"/>
        </w:rPr>
        <w:t>conceptual</w:t>
      </w:r>
      <w:proofErr w:type="spellEnd"/>
      <w:r>
        <w:rPr>
          <w:color w:val="222222"/>
          <w:highlight w:val="white"/>
        </w:rPr>
        <w:t xml:space="preserve"> model. </w:t>
      </w:r>
      <w:proofErr w:type="spellStart"/>
      <w:r>
        <w:rPr>
          <w:i/>
          <w:iCs/>
          <w:color w:val="222222"/>
          <w:highlight w:val="white"/>
        </w:rPr>
        <w:t>International</w:t>
      </w:r>
      <w:proofErr w:type="spellEnd"/>
      <w:r>
        <w:rPr>
          <w:i/>
          <w:iCs/>
          <w:color w:val="222222"/>
          <w:highlight w:val="white"/>
        </w:rPr>
        <w:t xml:space="preserve"> </w:t>
      </w:r>
      <w:proofErr w:type="spellStart"/>
      <w:r>
        <w:rPr>
          <w:i/>
          <w:iCs/>
          <w:color w:val="222222"/>
          <w:highlight w:val="white"/>
        </w:rPr>
        <w:t>Journal</w:t>
      </w:r>
      <w:proofErr w:type="spellEnd"/>
      <w:r>
        <w:rPr>
          <w:i/>
          <w:iCs/>
          <w:color w:val="222222"/>
          <w:highlight w:val="white"/>
        </w:rPr>
        <w:t xml:space="preserve"> </w:t>
      </w:r>
      <w:proofErr w:type="spellStart"/>
      <w:r>
        <w:rPr>
          <w:i/>
          <w:iCs/>
          <w:color w:val="222222"/>
          <w:highlight w:val="white"/>
        </w:rPr>
        <w:t>of</w:t>
      </w:r>
      <w:proofErr w:type="spellEnd"/>
      <w:r>
        <w:rPr>
          <w:i/>
          <w:iCs/>
          <w:color w:val="222222"/>
          <w:highlight w:val="white"/>
        </w:rPr>
        <w:t xml:space="preserve"> </w:t>
      </w:r>
      <w:proofErr w:type="spellStart"/>
      <w:r>
        <w:rPr>
          <w:i/>
          <w:iCs/>
          <w:color w:val="222222"/>
          <w:highlight w:val="white"/>
        </w:rPr>
        <w:t>Learning</w:t>
      </w:r>
      <w:proofErr w:type="spellEnd"/>
      <w:r>
        <w:rPr>
          <w:i/>
          <w:iCs/>
          <w:color w:val="222222"/>
          <w:highlight w:val="white"/>
        </w:rPr>
        <w:t xml:space="preserve"> </w:t>
      </w:r>
      <w:proofErr w:type="spellStart"/>
      <w:r>
        <w:rPr>
          <w:i/>
          <w:iCs/>
          <w:color w:val="222222"/>
          <w:highlight w:val="white"/>
        </w:rPr>
        <w:t>and</w:t>
      </w:r>
      <w:proofErr w:type="spellEnd"/>
      <w:r>
        <w:rPr>
          <w:i/>
          <w:iCs/>
          <w:color w:val="222222"/>
          <w:highlight w:val="white"/>
        </w:rPr>
        <w:t xml:space="preserve"> </w:t>
      </w:r>
      <w:proofErr w:type="spellStart"/>
      <w:r>
        <w:rPr>
          <w:i/>
          <w:iCs/>
          <w:color w:val="222222"/>
          <w:highlight w:val="white"/>
        </w:rPr>
        <w:t>Intellectual</w:t>
      </w:r>
      <w:proofErr w:type="spellEnd"/>
      <w:r>
        <w:rPr>
          <w:i/>
          <w:iCs/>
          <w:color w:val="222222"/>
          <w:highlight w:val="white"/>
        </w:rPr>
        <w:t xml:space="preserve"> </w:t>
      </w:r>
      <w:proofErr w:type="spellStart"/>
      <w:r>
        <w:rPr>
          <w:i/>
          <w:iCs/>
          <w:color w:val="222222"/>
          <w:highlight w:val="white"/>
        </w:rPr>
        <w:t>Capital</w:t>
      </w:r>
      <w:proofErr w:type="spellEnd"/>
      <w:r>
        <w:rPr>
          <w:color w:val="222222"/>
          <w:highlight w:val="white"/>
        </w:rPr>
        <w:t xml:space="preserve">, </w:t>
      </w:r>
      <w:r>
        <w:rPr>
          <w:i/>
          <w:iCs/>
          <w:color w:val="222222"/>
          <w:highlight w:val="white"/>
        </w:rPr>
        <w:t>8</w:t>
      </w:r>
      <w:r>
        <w:rPr>
          <w:color w:val="222222"/>
          <w:highlight w:val="white"/>
        </w:rPr>
        <w:t xml:space="preserve">(1), 94-107. </w:t>
      </w:r>
      <w:r>
        <w:rPr>
          <w:color w:val="555555"/>
          <w:highlight w:val="white"/>
        </w:rPr>
        <w:t>DOI:</w:t>
      </w:r>
      <w:hyperlink r:id="rId21">
        <w:r w:rsidR="006A7445">
          <w:rPr>
            <w:color w:val="1155CC"/>
            <w:highlight w:val="white"/>
            <w:u w:val="single"/>
          </w:rPr>
          <w:t>10.1504/IJLIC.2011.037361</w:t>
        </w:r>
      </w:hyperlink>
    </w:p>
    <w:p w14:paraId="1C1F1D20" w14:textId="77777777" w:rsidR="006A7445" w:rsidRDefault="006A7445" w:rsidP="00A63A44">
      <w:pPr>
        <w:spacing w:line="240" w:lineRule="auto"/>
        <w:ind w:left="720" w:hanging="720"/>
        <w:jc w:val="both"/>
        <w:rPr>
          <w:color w:val="222222"/>
          <w:highlight w:val="white"/>
        </w:rPr>
      </w:pPr>
    </w:p>
    <w:p w14:paraId="70AD1AD5" w14:textId="77777777" w:rsidR="006A7445" w:rsidRDefault="00000000" w:rsidP="00A63A44">
      <w:pPr>
        <w:spacing w:line="240" w:lineRule="auto"/>
        <w:ind w:left="720" w:hanging="720"/>
        <w:jc w:val="both"/>
        <w:rPr>
          <w:color w:val="222222"/>
          <w:highlight w:val="white"/>
        </w:rPr>
      </w:pPr>
      <w:r>
        <w:rPr>
          <w:color w:val="222222"/>
          <w:highlight w:val="white"/>
        </w:rPr>
        <w:t xml:space="preserve">Thomson, A., </w:t>
      </w:r>
      <w:proofErr w:type="spellStart"/>
      <w:r>
        <w:rPr>
          <w:color w:val="222222"/>
          <w:highlight w:val="white"/>
        </w:rPr>
        <w:t>Palmén</w:t>
      </w:r>
      <w:proofErr w:type="spellEnd"/>
      <w:r>
        <w:rPr>
          <w:color w:val="222222"/>
          <w:highlight w:val="white"/>
        </w:rPr>
        <w:t xml:space="preserve">, R., </w:t>
      </w:r>
      <w:proofErr w:type="spellStart"/>
      <w:r>
        <w:rPr>
          <w:color w:val="222222"/>
          <w:highlight w:val="white"/>
        </w:rPr>
        <w:t>Reidl</w:t>
      </w:r>
      <w:proofErr w:type="spellEnd"/>
      <w:r>
        <w:rPr>
          <w:color w:val="222222"/>
          <w:highlight w:val="white"/>
        </w:rPr>
        <w:t xml:space="preserve">, S., </w:t>
      </w:r>
      <w:proofErr w:type="spellStart"/>
      <w:r>
        <w:rPr>
          <w:color w:val="222222"/>
          <w:highlight w:val="white"/>
        </w:rPr>
        <w:t>Barnard</w:t>
      </w:r>
      <w:proofErr w:type="spellEnd"/>
      <w:r>
        <w:rPr>
          <w:color w:val="222222"/>
          <w:highlight w:val="white"/>
        </w:rPr>
        <w:t xml:space="preserve">, S., Beranek, S., </w:t>
      </w:r>
      <w:proofErr w:type="spellStart"/>
      <w:r>
        <w:rPr>
          <w:color w:val="222222"/>
          <w:highlight w:val="white"/>
        </w:rPr>
        <w:t>Dainty</w:t>
      </w:r>
      <w:proofErr w:type="spellEnd"/>
      <w:r>
        <w:rPr>
          <w:color w:val="222222"/>
          <w:highlight w:val="white"/>
        </w:rPr>
        <w:t xml:space="preserve">, A. R. J. in </w:t>
      </w:r>
      <w:proofErr w:type="spellStart"/>
      <w:r>
        <w:rPr>
          <w:color w:val="222222"/>
          <w:highlight w:val="white"/>
        </w:rPr>
        <w:t>Hassan</w:t>
      </w:r>
      <w:proofErr w:type="spellEnd"/>
      <w:r>
        <w:rPr>
          <w:color w:val="222222"/>
          <w:highlight w:val="white"/>
        </w:rPr>
        <w:t xml:space="preserve">, T. M. (2022). </w:t>
      </w:r>
      <w:proofErr w:type="spellStart"/>
      <w:r>
        <w:rPr>
          <w:color w:val="222222"/>
          <w:highlight w:val="white"/>
        </w:rPr>
        <w:t>Fostering</w:t>
      </w:r>
      <w:proofErr w:type="spellEnd"/>
      <w:r>
        <w:rPr>
          <w:color w:val="222222"/>
          <w:highlight w:val="white"/>
        </w:rPr>
        <w:t xml:space="preserve"> </w:t>
      </w:r>
      <w:proofErr w:type="spellStart"/>
      <w:r>
        <w:rPr>
          <w:color w:val="222222"/>
          <w:highlight w:val="white"/>
        </w:rPr>
        <w:t>collaborative</w:t>
      </w:r>
      <w:proofErr w:type="spellEnd"/>
      <w:r>
        <w:rPr>
          <w:color w:val="222222"/>
          <w:highlight w:val="white"/>
        </w:rPr>
        <w:t xml:space="preserve"> </w:t>
      </w:r>
      <w:proofErr w:type="spellStart"/>
      <w:r>
        <w:rPr>
          <w:color w:val="222222"/>
          <w:highlight w:val="white"/>
        </w:rPr>
        <w:t>approaches</w:t>
      </w:r>
      <w:proofErr w:type="spellEnd"/>
      <w:r>
        <w:rPr>
          <w:color w:val="222222"/>
          <w:highlight w:val="white"/>
        </w:rPr>
        <w:t xml:space="preserve"> to </w:t>
      </w:r>
      <w:proofErr w:type="spellStart"/>
      <w:r>
        <w:rPr>
          <w:color w:val="222222"/>
          <w:highlight w:val="white"/>
        </w:rPr>
        <w:t>gender</w:t>
      </w:r>
      <w:proofErr w:type="spellEnd"/>
      <w:r>
        <w:rPr>
          <w:color w:val="222222"/>
          <w:highlight w:val="white"/>
        </w:rPr>
        <w:t xml:space="preserve"> </w:t>
      </w:r>
      <w:proofErr w:type="spellStart"/>
      <w:r>
        <w:rPr>
          <w:color w:val="222222"/>
          <w:highlight w:val="white"/>
        </w:rPr>
        <w:t>equality</w:t>
      </w:r>
      <w:proofErr w:type="spellEnd"/>
      <w:r>
        <w:rPr>
          <w:color w:val="222222"/>
          <w:highlight w:val="white"/>
        </w:rPr>
        <w:t xml:space="preserve"> </w:t>
      </w:r>
      <w:proofErr w:type="spellStart"/>
      <w:r>
        <w:rPr>
          <w:color w:val="222222"/>
          <w:highlight w:val="white"/>
        </w:rPr>
        <w:t>interventions</w:t>
      </w:r>
      <w:proofErr w:type="spellEnd"/>
      <w:r>
        <w:rPr>
          <w:color w:val="222222"/>
          <w:highlight w:val="white"/>
        </w:rPr>
        <w:t xml:space="preserve"> in </w:t>
      </w:r>
      <w:proofErr w:type="spellStart"/>
      <w:r>
        <w:rPr>
          <w:color w:val="222222"/>
          <w:highlight w:val="white"/>
        </w:rPr>
        <w:t>higher</w:t>
      </w:r>
      <w:proofErr w:type="spellEnd"/>
      <w:r>
        <w:rPr>
          <w:color w:val="222222"/>
          <w:highlight w:val="white"/>
        </w:rPr>
        <w:t xml:space="preserve"> </w:t>
      </w:r>
      <w:proofErr w:type="spellStart"/>
      <w:r>
        <w:rPr>
          <w:color w:val="222222"/>
          <w:highlight w:val="white"/>
        </w:rPr>
        <w:t>education</w:t>
      </w:r>
      <w:proofErr w:type="spellEnd"/>
      <w:r>
        <w:rPr>
          <w:color w:val="222222"/>
          <w:highlight w:val="white"/>
        </w:rPr>
        <w:t xml:space="preserve"> </w:t>
      </w:r>
      <w:proofErr w:type="spellStart"/>
      <w:r>
        <w:rPr>
          <w:color w:val="222222"/>
          <w:highlight w:val="white"/>
        </w:rPr>
        <w:t>and</w:t>
      </w:r>
      <w:proofErr w:type="spellEnd"/>
      <w:r>
        <w:rPr>
          <w:color w:val="222222"/>
          <w:highlight w:val="white"/>
        </w:rPr>
        <w:t xml:space="preserve"> </w:t>
      </w:r>
      <w:proofErr w:type="spellStart"/>
      <w:r>
        <w:rPr>
          <w:color w:val="222222"/>
          <w:highlight w:val="white"/>
        </w:rPr>
        <w:t>research</w:t>
      </w:r>
      <w:proofErr w:type="spellEnd"/>
      <w:r>
        <w:rPr>
          <w:color w:val="222222"/>
          <w:highlight w:val="white"/>
        </w:rPr>
        <w:t xml:space="preserve">: </w:t>
      </w:r>
      <w:proofErr w:type="spellStart"/>
      <w:r>
        <w:rPr>
          <w:color w:val="222222"/>
          <w:highlight w:val="white"/>
        </w:rPr>
        <w:t>the</w:t>
      </w:r>
      <w:proofErr w:type="spellEnd"/>
      <w:r>
        <w:rPr>
          <w:color w:val="222222"/>
          <w:highlight w:val="white"/>
        </w:rPr>
        <w:t xml:space="preserve"> </w:t>
      </w:r>
      <w:proofErr w:type="spellStart"/>
      <w:r>
        <w:rPr>
          <w:color w:val="222222"/>
          <w:highlight w:val="white"/>
        </w:rPr>
        <w:t>case</w:t>
      </w:r>
      <w:proofErr w:type="spellEnd"/>
      <w:r>
        <w:rPr>
          <w:color w:val="222222"/>
          <w:highlight w:val="white"/>
        </w:rPr>
        <w:t xml:space="preserve"> </w:t>
      </w:r>
      <w:proofErr w:type="spellStart"/>
      <w:r>
        <w:rPr>
          <w:color w:val="222222"/>
          <w:highlight w:val="white"/>
        </w:rPr>
        <w:t>of</w:t>
      </w:r>
      <w:proofErr w:type="spellEnd"/>
      <w:r>
        <w:rPr>
          <w:color w:val="222222"/>
          <w:highlight w:val="white"/>
        </w:rPr>
        <w:t xml:space="preserve"> </w:t>
      </w:r>
      <w:proofErr w:type="spellStart"/>
      <w:r>
        <w:rPr>
          <w:color w:val="222222"/>
          <w:highlight w:val="white"/>
        </w:rPr>
        <w:t>transnational</w:t>
      </w:r>
      <w:proofErr w:type="spellEnd"/>
      <w:r>
        <w:rPr>
          <w:color w:val="222222"/>
          <w:highlight w:val="white"/>
        </w:rPr>
        <w:t xml:space="preserve"> </w:t>
      </w:r>
      <w:proofErr w:type="spellStart"/>
      <w:r>
        <w:rPr>
          <w:color w:val="222222"/>
          <w:highlight w:val="white"/>
        </w:rPr>
        <w:t>and</w:t>
      </w:r>
      <w:proofErr w:type="spellEnd"/>
      <w:r>
        <w:rPr>
          <w:color w:val="222222"/>
          <w:highlight w:val="white"/>
        </w:rPr>
        <w:t xml:space="preserve"> </w:t>
      </w:r>
      <w:proofErr w:type="spellStart"/>
      <w:r>
        <w:rPr>
          <w:color w:val="222222"/>
          <w:highlight w:val="white"/>
        </w:rPr>
        <w:t>multi-institutional</w:t>
      </w:r>
      <w:proofErr w:type="spellEnd"/>
      <w:r>
        <w:rPr>
          <w:color w:val="222222"/>
          <w:highlight w:val="white"/>
        </w:rPr>
        <w:t xml:space="preserve"> </w:t>
      </w:r>
      <w:proofErr w:type="spellStart"/>
      <w:r>
        <w:rPr>
          <w:color w:val="222222"/>
          <w:highlight w:val="white"/>
        </w:rPr>
        <w:t>communities</w:t>
      </w:r>
      <w:proofErr w:type="spellEnd"/>
      <w:r>
        <w:rPr>
          <w:color w:val="222222"/>
          <w:highlight w:val="white"/>
        </w:rPr>
        <w:t xml:space="preserve"> </w:t>
      </w:r>
      <w:proofErr w:type="spellStart"/>
      <w:r>
        <w:rPr>
          <w:color w:val="222222"/>
          <w:highlight w:val="white"/>
        </w:rPr>
        <w:t>of</w:t>
      </w:r>
      <w:proofErr w:type="spellEnd"/>
      <w:r>
        <w:rPr>
          <w:color w:val="222222"/>
          <w:highlight w:val="white"/>
        </w:rPr>
        <w:t xml:space="preserve"> </w:t>
      </w:r>
      <w:proofErr w:type="spellStart"/>
      <w:r>
        <w:rPr>
          <w:color w:val="222222"/>
          <w:highlight w:val="white"/>
        </w:rPr>
        <w:t>practice</w:t>
      </w:r>
      <w:proofErr w:type="spellEnd"/>
      <w:r>
        <w:rPr>
          <w:color w:val="222222"/>
          <w:highlight w:val="white"/>
        </w:rPr>
        <w:t xml:space="preserve">. </w:t>
      </w:r>
      <w:proofErr w:type="spellStart"/>
      <w:r>
        <w:rPr>
          <w:i/>
          <w:iCs/>
          <w:color w:val="222222"/>
          <w:highlight w:val="white"/>
        </w:rPr>
        <w:t>Journal</w:t>
      </w:r>
      <w:proofErr w:type="spellEnd"/>
      <w:r>
        <w:rPr>
          <w:i/>
          <w:iCs/>
          <w:color w:val="222222"/>
          <w:highlight w:val="white"/>
        </w:rPr>
        <w:t xml:space="preserve"> </w:t>
      </w:r>
      <w:proofErr w:type="spellStart"/>
      <w:r>
        <w:rPr>
          <w:i/>
          <w:iCs/>
          <w:color w:val="222222"/>
          <w:highlight w:val="white"/>
        </w:rPr>
        <w:t>of</w:t>
      </w:r>
      <w:proofErr w:type="spellEnd"/>
      <w:r>
        <w:rPr>
          <w:i/>
          <w:iCs/>
          <w:color w:val="222222"/>
          <w:highlight w:val="white"/>
        </w:rPr>
        <w:t xml:space="preserve"> </w:t>
      </w:r>
      <w:proofErr w:type="spellStart"/>
      <w:r>
        <w:rPr>
          <w:i/>
          <w:iCs/>
          <w:color w:val="222222"/>
          <w:highlight w:val="white"/>
        </w:rPr>
        <w:t>Gender</w:t>
      </w:r>
      <w:proofErr w:type="spellEnd"/>
      <w:r>
        <w:rPr>
          <w:i/>
          <w:iCs/>
          <w:color w:val="222222"/>
          <w:highlight w:val="white"/>
        </w:rPr>
        <w:t xml:space="preserve"> </w:t>
      </w:r>
      <w:proofErr w:type="spellStart"/>
      <w:r>
        <w:rPr>
          <w:i/>
          <w:iCs/>
          <w:color w:val="222222"/>
          <w:highlight w:val="white"/>
        </w:rPr>
        <w:t>Studies</w:t>
      </w:r>
      <w:proofErr w:type="spellEnd"/>
      <w:r>
        <w:rPr>
          <w:color w:val="222222"/>
          <w:highlight w:val="white"/>
        </w:rPr>
        <w:t xml:space="preserve">, </w:t>
      </w:r>
      <w:r>
        <w:rPr>
          <w:i/>
          <w:iCs/>
          <w:color w:val="222222"/>
          <w:highlight w:val="white"/>
        </w:rPr>
        <w:t>31</w:t>
      </w:r>
      <w:r>
        <w:rPr>
          <w:color w:val="222222"/>
          <w:highlight w:val="white"/>
        </w:rPr>
        <w:t xml:space="preserve">(1), 36-54. </w:t>
      </w:r>
      <w:hyperlink r:id="rId22">
        <w:r w:rsidR="006A7445">
          <w:rPr>
            <w:color w:val="1155CC"/>
            <w:highlight w:val="white"/>
            <w:u w:val="single"/>
          </w:rPr>
          <w:t>https://www.doi.org/ https://doi.org/10.1080/09589236.2021.1935804</w:t>
        </w:r>
      </w:hyperlink>
    </w:p>
    <w:p w14:paraId="3BEB3EC9" w14:textId="77777777" w:rsidR="006A7445" w:rsidRDefault="006A7445" w:rsidP="00A63A44">
      <w:pPr>
        <w:spacing w:line="240" w:lineRule="auto"/>
        <w:ind w:left="720" w:hanging="720"/>
        <w:jc w:val="both"/>
        <w:rPr>
          <w:color w:val="222222"/>
          <w:highlight w:val="white"/>
        </w:rPr>
      </w:pPr>
    </w:p>
    <w:p w14:paraId="4AD483F4" w14:textId="77777777" w:rsidR="006A7445" w:rsidRDefault="00000000" w:rsidP="00A63A44">
      <w:pPr>
        <w:spacing w:line="240" w:lineRule="auto"/>
        <w:ind w:left="720" w:hanging="720"/>
        <w:jc w:val="both"/>
        <w:rPr>
          <w:color w:val="222222"/>
          <w:highlight w:val="white"/>
        </w:rPr>
      </w:pPr>
      <w:r>
        <w:rPr>
          <w:color w:val="222222"/>
          <w:highlight w:val="white"/>
        </w:rPr>
        <w:t xml:space="preserve">Thomson, A. in </w:t>
      </w:r>
      <w:proofErr w:type="spellStart"/>
      <w:r>
        <w:rPr>
          <w:color w:val="222222"/>
          <w:highlight w:val="white"/>
        </w:rPr>
        <w:t>Rabsch</w:t>
      </w:r>
      <w:proofErr w:type="spellEnd"/>
      <w:r>
        <w:rPr>
          <w:color w:val="222222"/>
          <w:highlight w:val="white"/>
        </w:rPr>
        <w:t xml:space="preserve">, K. (2019). </w:t>
      </w:r>
      <w:proofErr w:type="spellStart"/>
      <w:r>
        <w:rPr>
          <w:color w:val="222222"/>
          <w:highlight w:val="white"/>
        </w:rPr>
        <w:t>Community</w:t>
      </w:r>
      <w:proofErr w:type="spellEnd"/>
      <w:r>
        <w:rPr>
          <w:color w:val="222222"/>
          <w:highlight w:val="white"/>
        </w:rPr>
        <w:t xml:space="preserve"> </w:t>
      </w:r>
      <w:proofErr w:type="spellStart"/>
      <w:r>
        <w:rPr>
          <w:color w:val="222222"/>
          <w:highlight w:val="white"/>
        </w:rPr>
        <w:t>of</w:t>
      </w:r>
      <w:proofErr w:type="spellEnd"/>
      <w:r>
        <w:rPr>
          <w:color w:val="222222"/>
          <w:highlight w:val="white"/>
        </w:rPr>
        <w:t xml:space="preserve"> </w:t>
      </w:r>
      <w:proofErr w:type="spellStart"/>
      <w:r>
        <w:rPr>
          <w:color w:val="222222"/>
          <w:highlight w:val="white"/>
        </w:rPr>
        <w:t>Practice</w:t>
      </w:r>
      <w:proofErr w:type="spellEnd"/>
      <w:r>
        <w:rPr>
          <w:color w:val="222222"/>
          <w:highlight w:val="white"/>
        </w:rPr>
        <w:t xml:space="preserve"> Co-</w:t>
      </w:r>
      <w:proofErr w:type="spellStart"/>
      <w:r>
        <w:rPr>
          <w:color w:val="222222"/>
          <w:highlight w:val="white"/>
        </w:rPr>
        <w:t>creation</w:t>
      </w:r>
      <w:proofErr w:type="spellEnd"/>
      <w:r>
        <w:rPr>
          <w:color w:val="222222"/>
          <w:highlight w:val="white"/>
        </w:rPr>
        <w:t xml:space="preserve"> </w:t>
      </w:r>
      <w:proofErr w:type="spellStart"/>
      <w:r>
        <w:rPr>
          <w:color w:val="222222"/>
          <w:highlight w:val="white"/>
        </w:rPr>
        <w:t>Toolkit</w:t>
      </w:r>
      <w:proofErr w:type="spellEnd"/>
      <w:r>
        <w:rPr>
          <w:color w:val="222222"/>
          <w:highlight w:val="white"/>
        </w:rPr>
        <w:t xml:space="preserve"> (</w:t>
      </w:r>
      <w:proofErr w:type="spellStart"/>
      <w:r>
        <w:rPr>
          <w:color w:val="222222"/>
          <w:highlight w:val="white"/>
        </w:rPr>
        <w:t>Version</w:t>
      </w:r>
      <w:proofErr w:type="spellEnd"/>
      <w:r>
        <w:rPr>
          <w:color w:val="222222"/>
          <w:highlight w:val="white"/>
        </w:rPr>
        <w:t xml:space="preserve"> 1) (</w:t>
      </w:r>
      <w:proofErr w:type="spellStart"/>
      <w:r>
        <w:rPr>
          <w:color w:val="222222"/>
          <w:highlight w:val="white"/>
        </w:rPr>
        <w:t>Deliverable</w:t>
      </w:r>
      <w:proofErr w:type="spellEnd"/>
      <w:r>
        <w:rPr>
          <w:color w:val="222222"/>
          <w:highlight w:val="white"/>
        </w:rPr>
        <w:t xml:space="preserve"> D2.3). ACT Project </w:t>
      </w:r>
      <w:proofErr w:type="spellStart"/>
      <w:r>
        <w:rPr>
          <w:color w:val="222222"/>
          <w:highlight w:val="white"/>
        </w:rPr>
        <w:t>Consortium</w:t>
      </w:r>
      <w:proofErr w:type="spellEnd"/>
      <w:r>
        <w:rPr>
          <w:color w:val="222222"/>
          <w:highlight w:val="white"/>
        </w:rPr>
        <w:t xml:space="preserve">. </w:t>
      </w:r>
      <w:proofErr w:type="spellStart"/>
      <w:r>
        <w:rPr>
          <w:color w:val="222222"/>
          <w:highlight w:val="white"/>
        </w:rPr>
        <w:t>Horizon</w:t>
      </w:r>
      <w:proofErr w:type="spellEnd"/>
      <w:r>
        <w:rPr>
          <w:color w:val="222222"/>
          <w:highlight w:val="white"/>
        </w:rPr>
        <w:t xml:space="preserve"> 2020, </w:t>
      </w:r>
      <w:proofErr w:type="spellStart"/>
      <w:r>
        <w:rPr>
          <w:color w:val="222222"/>
          <w:highlight w:val="white"/>
        </w:rPr>
        <w:t>European</w:t>
      </w:r>
      <w:proofErr w:type="spellEnd"/>
      <w:r>
        <w:rPr>
          <w:color w:val="222222"/>
          <w:highlight w:val="white"/>
        </w:rPr>
        <w:t xml:space="preserve"> </w:t>
      </w:r>
      <w:proofErr w:type="spellStart"/>
      <w:r>
        <w:rPr>
          <w:color w:val="222222"/>
          <w:highlight w:val="white"/>
        </w:rPr>
        <w:t>Commission</w:t>
      </w:r>
      <w:proofErr w:type="spellEnd"/>
      <w:r>
        <w:rPr>
          <w:color w:val="222222"/>
          <w:highlight w:val="white"/>
        </w:rPr>
        <w:t xml:space="preserve">. </w:t>
      </w:r>
      <w:hyperlink r:id="rId23">
        <w:r w:rsidR="006A7445">
          <w:rPr>
            <w:color w:val="1155CC"/>
            <w:highlight w:val="white"/>
            <w:u w:val="single"/>
          </w:rPr>
          <w:t>https://cordis.europa.eu/project/id/788204/results</w:t>
        </w:r>
      </w:hyperlink>
      <w:r>
        <w:rPr>
          <w:color w:val="222222"/>
          <w:highlight w:val="white"/>
        </w:rPr>
        <w:t xml:space="preserve"> </w:t>
      </w:r>
    </w:p>
    <w:p w14:paraId="55D706CC" w14:textId="77777777" w:rsidR="006A7445" w:rsidRDefault="006A7445" w:rsidP="00A63A44">
      <w:pPr>
        <w:spacing w:line="240" w:lineRule="auto"/>
        <w:ind w:left="720" w:hanging="720"/>
        <w:jc w:val="both"/>
        <w:rPr>
          <w:highlight w:val="white"/>
        </w:rPr>
      </w:pPr>
    </w:p>
    <w:p w14:paraId="352CB42D" w14:textId="77777777" w:rsidR="006A7445" w:rsidRDefault="00000000" w:rsidP="00A63A44">
      <w:pPr>
        <w:spacing w:line="240" w:lineRule="auto"/>
        <w:ind w:left="720" w:hanging="720"/>
        <w:jc w:val="both"/>
      </w:pPr>
      <w:proofErr w:type="spellStart"/>
      <w:r>
        <w:rPr>
          <w:highlight w:val="white"/>
        </w:rPr>
        <w:t>Wenger</w:t>
      </w:r>
      <w:proofErr w:type="spellEnd"/>
      <w:r>
        <w:rPr>
          <w:highlight w:val="white"/>
        </w:rPr>
        <w:t xml:space="preserve">, E. (2011). </w:t>
      </w:r>
      <w:proofErr w:type="spellStart"/>
      <w:r>
        <w:rPr>
          <w:highlight w:val="white"/>
        </w:rPr>
        <w:t>Communities</w:t>
      </w:r>
      <w:proofErr w:type="spellEnd"/>
      <w:r>
        <w:rPr>
          <w:highlight w:val="white"/>
        </w:rPr>
        <w:t xml:space="preserve"> </w:t>
      </w:r>
      <w:proofErr w:type="spellStart"/>
      <w:r>
        <w:rPr>
          <w:highlight w:val="white"/>
        </w:rPr>
        <w:t>of</w:t>
      </w:r>
      <w:proofErr w:type="spellEnd"/>
      <w:r>
        <w:rPr>
          <w:highlight w:val="white"/>
        </w:rPr>
        <w:t xml:space="preserve"> </w:t>
      </w:r>
      <w:proofErr w:type="spellStart"/>
      <w:r>
        <w:rPr>
          <w:highlight w:val="white"/>
        </w:rPr>
        <w:t>practice</w:t>
      </w:r>
      <w:proofErr w:type="spellEnd"/>
      <w:r>
        <w:rPr>
          <w:highlight w:val="white"/>
        </w:rPr>
        <w:t xml:space="preserve">: A </w:t>
      </w:r>
      <w:proofErr w:type="spellStart"/>
      <w:r>
        <w:rPr>
          <w:highlight w:val="white"/>
        </w:rPr>
        <w:t>brief</w:t>
      </w:r>
      <w:proofErr w:type="spellEnd"/>
      <w:r>
        <w:rPr>
          <w:highlight w:val="white"/>
        </w:rPr>
        <w:t xml:space="preserve"> </w:t>
      </w:r>
      <w:proofErr w:type="spellStart"/>
      <w:r>
        <w:rPr>
          <w:highlight w:val="white"/>
        </w:rPr>
        <w:t>introduction</w:t>
      </w:r>
      <w:proofErr w:type="spellEnd"/>
      <w:r>
        <w:rPr>
          <w:highlight w:val="white"/>
        </w:rPr>
        <w:t xml:space="preserve">. </w:t>
      </w:r>
      <w:hyperlink r:id="rId24">
        <w:r w:rsidR="006A7445">
          <w:rPr>
            <w:color w:val="1155CC"/>
            <w:u w:val="single"/>
          </w:rPr>
          <w:t>https://scholarsbank.uoregon.edu/server/api/core/bitstreams/d1fddebc-8756-4647-9aef-80046f02df59/content</w:t>
        </w:r>
      </w:hyperlink>
      <w:r>
        <w:t xml:space="preserve"> </w:t>
      </w:r>
    </w:p>
    <w:p w14:paraId="0F08E3B0" w14:textId="77777777" w:rsidR="006A7445" w:rsidRDefault="006A7445" w:rsidP="00A63A44">
      <w:pPr>
        <w:spacing w:line="240" w:lineRule="auto"/>
        <w:ind w:left="720" w:hanging="720"/>
        <w:jc w:val="both"/>
      </w:pPr>
    </w:p>
    <w:p w14:paraId="63139966" w14:textId="77777777" w:rsidR="006A7445" w:rsidRDefault="00000000" w:rsidP="00A63A44">
      <w:pPr>
        <w:spacing w:line="240" w:lineRule="auto"/>
        <w:ind w:left="720" w:hanging="720"/>
        <w:jc w:val="both"/>
        <w:rPr>
          <w:color w:val="222222"/>
          <w:highlight w:val="white"/>
        </w:rPr>
      </w:pPr>
      <w:proofErr w:type="spellStart"/>
      <w:r>
        <w:rPr>
          <w:color w:val="333333"/>
          <w:highlight w:val="white"/>
        </w:rPr>
        <w:t>Wenger</w:t>
      </w:r>
      <w:proofErr w:type="spellEnd"/>
      <w:r>
        <w:rPr>
          <w:color w:val="333333"/>
          <w:highlight w:val="white"/>
        </w:rPr>
        <w:t xml:space="preserve">, E. (1998). </w:t>
      </w:r>
      <w:proofErr w:type="spellStart"/>
      <w:r>
        <w:rPr>
          <w:i/>
          <w:iCs/>
          <w:color w:val="333333"/>
          <w:highlight w:val="white"/>
        </w:rPr>
        <w:t>Communities</w:t>
      </w:r>
      <w:proofErr w:type="spellEnd"/>
      <w:r>
        <w:rPr>
          <w:i/>
          <w:iCs/>
          <w:color w:val="333333"/>
          <w:highlight w:val="white"/>
        </w:rPr>
        <w:t xml:space="preserve"> </w:t>
      </w:r>
      <w:proofErr w:type="spellStart"/>
      <w:r>
        <w:rPr>
          <w:i/>
          <w:iCs/>
          <w:color w:val="333333"/>
          <w:highlight w:val="white"/>
        </w:rPr>
        <w:t>of</w:t>
      </w:r>
      <w:proofErr w:type="spellEnd"/>
      <w:r>
        <w:rPr>
          <w:i/>
          <w:iCs/>
          <w:color w:val="333333"/>
          <w:highlight w:val="white"/>
        </w:rPr>
        <w:t xml:space="preserve"> </w:t>
      </w:r>
      <w:proofErr w:type="spellStart"/>
      <w:r>
        <w:rPr>
          <w:i/>
          <w:iCs/>
          <w:color w:val="333333"/>
          <w:highlight w:val="white"/>
        </w:rPr>
        <w:t>practice</w:t>
      </w:r>
      <w:proofErr w:type="spellEnd"/>
      <w:r>
        <w:rPr>
          <w:i/>
          <w:iCs/>
          <w:color w:val="333333"/>
          <w:highlight w:val="white"/>
        </w:rPr>
        <w:t xml:space="preserve">: </w:t>
      </w:r>
      <w:proofErr w:type="spellStart"/>
      <w:r>
        <w:rPr>
          <w:i/>
          <w:iCs/>
          <w:color w:val="333333"/>
          <w:highlight w:val="white"/>
        </w:rPr>
        <w:t>Learning</w:t>
      </w:r>
      <w:proofErr w:type="spellEnd"/>
      <w:r>
        <w:rPr>
          <w:i/>
          <w:iCs/>
          <w:color w:val="333333"/>
          <w:highlight w:val="white"/>
        </w:rPr>
        <w:t xml:space="preserve">, </w:t>
      </w:r>
      <w:proofErr w:type="spellStart"/>
      <w:r>
        <w:rPr>
          <w:i/>
          <w:iCs/>
          <w:color w:val="333333"/>
          <w:highlight w:val="white"/>
        </w:rPr>
        <w:t>meaning</w:t>
      </w:r>
      <w:proofErr w:type="spellEnd"/>
      <w:r>
        <w:rPr>
          <w:i/>
          <w:iCs/>
          <w:color w:val="333333"/>
          <w:highlight w:val="white"/>
        </w:rPr>
        <w:t xml:space="preserve">, </w:t>
      </w:r>
      <w:proofErr w:type="spellStart"/>
      <w:r>
        <w:rPr>
          <w:i/>
          <w:iCs/>
          <w:color w:val="333333"/>
          <w:highlight w:val="white"/>
        </w:rPr>
        <w:t>and</w:t>
      </w:r>
      <w:proofErr w:type="spellEnd"/>
      <w:r>
        <w:rPr>
          <w:i/>
          <w:iCs/>
          <w:color w:val="333333"/>
          <w:highlight w:val="white"/>
        </w:rPr>
        <w:t xml:space="preserve"> </w:t>
      </w:r>
      <w:proofErr w:type="spellStart"/>
      <w:r>
        <w:rPr>
          <w:i/>
          <w:iCs/>
          <w:color w:val="333333"/>
          <w:highlight w:val="white"/>
        </w:rPr>
        <w:t>identity</w:t>
      </w:r>
      <w:proofErr w:type="spellEnd"/>
      <w:r>
        <w:rPr>
          <w:i/>
          <w:iCs/>
          <w:color w:val="333333"/>
          <w:highlight w:val="white"/>
        </w:rPr>
        <w:t>.</w:t>
      </w:r>
      <w:r>
        <w:rPr>
          <w:color w:val="333333"/>
          <w:highlight w:val="white"/>
        </w:rPr>
        <w:t xml:space="preserve"> Cambridge </w:t>
      </w:r>
      <w:proofErr w:type="spellStart"/>
      <w:r>
        <w:rPr>
          <w:color w:val="333333"/>
          <w:highlight w:val="white"/>
        </w:rPr>
        <w:t>University</w:t>
      </w:r>
      <w:proofErr w:type="spellEnd"/>
      <w:r>
        <w:rPr>
          <w:color w:val="333333"/>
          <w:highlight w:val="white"/>
        </w:rPr>
        <w:t xml:space="preserve"> </w:t>
      </w:r>
      <w:proofErr w:type="spellStart"/>
      <w:r>
        <w:rPr>
          <w:color w:val="333333"/>
          <w:highlight w:val="white"/>
        </w:rPr>
        <w:t>Press</w:t>
      </w:r>
      <w:proofErr w:type="spellEnd"/>
      <w:r>
        <w:rPr>
          <w:color w:val="333333"/>
          <w:highlight w:val="white"/>
        </w:rPr>
        <w:t xml:space="preserve">. </w:t>
      </w:r>
      <w:hyperlink r:id="rId25">
        <w:r w:rsidR="006A7445">
          <w:rPr>
            <w:color w:val="2C72B7"/>
            <w:highlight w:val="white"/>
          </w:rPr>
          <w:t>https://doi.org/10.1017/CBO9780511803932</w:t>
        </w:r>
      </w:hyperlink>
    </w:p>
    <w:p w14:paraId="01F0BC52" w14:textId="77777777" w:rsidR="006A7445" w:rsidRDefault="006A7445" w:rsidP="00A63A44">
      <w:pPr>
        <w:spacing w:line="240" w:lineRule="auto"/>
        <w:ind w:left="720" w:hanging="720"/>
        <w:jc w:val="both"/>
        <w:rPr>
          <w:color w:val="222222"/>
          <w:highlight w:val="white"/>
        </w:rPr>
      </w:pPr>
    </w:p>
    <w:p w14:paraId="5667FC89" w14:textId="3EDCE586" w:rsidR="006A7445" w:rsidRPr="009867E3" w:rsidRDefault="00000000" w:rsidP="00A63A44">
      <w:pPr>
        <w:spacing w:line="240" w:lineRule="auto"/>
        <w:ind w:left="720" w:hanging="720"/>
        <w:jc w:val="both"/>
        <w:rPr>
          <w:color w:val="222222"/>
          <w:highlight w:val="white"/>
        </w:rPr>
      </w:pPr>
      <w:proofErr w:type="spellStart"/>
      <w:r>
        <w:rPr>
          <w:color w:val="222222"/>
          <w:highlight w:val="white"/>
        </w:rPr>
        <w:t>Wenger</w:t>
      </w:r>
      <w:proofErr w:type="spellEnd"/>
      <w:r>
        <w:rPr>
          <w:color w:val="222222"/>
          <w:highlight w:val="white"/>
        </w:rPr>
        <w:t xml:space="preserve">, E. C. in </w:t>
      </w:r>
      <w:proofErr w:type="spellStart"/>
      <w:r>
        <w:rPr>
          <w:color w:val="222222"/>
          <w:highlight w:val="white"/>
        </w:rPr>
        <w:t>Snyder</w:t>
      </w:r>
      <w:proofErr w:type="spellEnd"/>
      <w:r>
        <w:rPr>
          <w:color w:val="222222"/>
          <w:highlight w:val="white"/>
        </w:rPr>
        <w:t xml:space="preserve">, W. M. (2000). </w:t>
      </w:r>
      <w:proofErr w:type="spellStart"/>
      <w:r>
        <w:rPr>
          <w:color w:val="222222"/>
          <w:highlight w:val="white"/>
        </w:rPr>
        <w:t>Communities</w:t>
      </w:r>
      <w:proofErr w:type="spellEnd"/>
      <w:r>
        <w:rPr>
          <w:color w:val="222222"/>
          <w:highlight w:val="white"/>
        </w:rPr>
        <w:t xml:space="preserve"> </w:t>
      </w:r>
      <w:proofErr w:type="spellStart"/>
      <w:r>
        <w:rPr>
          <w:color w:val="222222"/>
          <w:highlight w:val="white"/>
        </w:rPr>
        <w:t>of</w:t>
      </w:r>
      <w:proofErr w:type="spellEnd"/>
      <w:r>
        <w:rPr>
          <w:color w:val="222222"/>
          <w:highlight w:val="white"/>
        </w:rPr>
        <w:t xml:space="preserve"> </w:t>
      </w:r>
      <w:proofErr w:type="spellStart"/>
      <w:r>
        <w:rPr>
          <w:color w:val="222222"/>
          <w:highlight w:val="white"/>
        </w:rPr>
        <w:t>practice</w:t>
      </w:r>
      <w:proofErr w:type="spellEnd"/>
      <w:r>
        <w:rPr>
          <w:color w:val="222222"/>
          <w:highlight w:val="white"/>
        </w:rPr>
        <w:t xml:space="preserve">: </w:t>
      </w:r>
      <w:proofErr w:type="spellStart"/>
      <w:r>
        <w:rPr>
          <w:color w:val="222222"/>
          <w:highlight w:val="white"/>
        </w:rPr>
        <w:t>The</w:t>
      </w:r>
      <w:proofErr w:type="spellEnd"/>
      <w:r>
        <w:rPr>
          <w:color w:val="222222"/>
          <w:highlight w:val="white"/>
        </w:rPr>
        <w:t xml:space="preserve"> </w:t>
      </w:r>
      <w:proofErr w:type="spellStart"/>
      <w:r>
        <w:rPr>
          <w:color w:val="222222"/>
          <w:highlight w:val="white"/>
        </w:rPr>
        <w:t>organizational</w:t>
      </w:r>
      <w:proofErr w:type="spellEnd"/>
      <w:r>
        <w:rPr>
          <w:color w:val="222222"/>
          <w:highlight w:val="white"/>
        </w:rPr>
        <w:t xml:space="preserve"> </w:t>
      </w:r>
      <w:proofErr w:type="spellStart"/>
      <w:r>
        <w:rPr>
          <w:color w:val="222222"/>
          <w:highlight w:val="white"/>
        </w:rPr>
        <w:t>frontier</w:t>
      </w:r>
      <w:proofErr w:type="spellEnd"/>
      <w:r>
        <w:rPr>
          <w:color w:val="222222"/>
          <w:highlight w:val="white"/>
        </w:rPr>
        <w:t xml:space="preserve">. </w:t>
      </w:r>
      <w:r>
        <w:rPr>
          <w:i/>
          <w:iCs/>
          <w:color w:val="222222"/>
          <w:highlight w:val="white"/>
        </w:rPr>
        <w:t xml:space="preserve">Harvard business </w:t>
      </w:r>
      <w:proofErr w:type="spellStart"/>
      <w:r>
        <w:rPr>
          <w:i/>
          <w:iCs/>
          <w:color w:val="222222"/>
          <w:highlight w:val="white"/>
        </w:rPr>
        <w:t>review</w:t>
      </w:r>
      <w:proofErr w:type="spellEnd"/>
      <w:r>
        <w:rPr>
          <w:color w:val="222222"/>
          <w:highlight w:val="white"/>
        </w:rPr>
        <w:t xml:space="preserve">, </w:t>
      </w:r>
      <w:r>
        <w:rPr>
          <w:i/>
          <w:iCs/>
          <w:color w:val="222222"/>
          <w:highlight w:val="white"/>
        </w:rPr>
        <w:t>78</w:t>
      </w:r>
      <w:r>
        <w:rPr>
          <w:color w:val="222222"/>
          <w:highlight w:val="white"/>
        </w:rPr>
        <w:t>(1), 139-146.</w:t>
      </w:r>
    </w:p>
    <w:sectPr w:rsidR="006A7445" w:rsidRPr="009867E3">
      <w:pgSz w:w="12240" w:h="15840"/>
      <w:pgMar w:top="1440" w:right="1440" w:bottom="1440" w:left="1440" w:header="720" w:footer="72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2AB2A2" w14:textId="77777777" w:rsidR="009615AB" w:rsidRDefault="009615AB" w:rsidP="00736A1D">
      <w:pPr>
        <w:spacing w:line="240" w:lineRule="auto"/>
      </w:pPr>
      <w:r>
        <w:separator/>
      </w:r>
    </w:p>
  </w:endnote>
  <w:endnote w:type="continuationSeparator" w:id="0">
    <w:p w14:paraId="50A4B8E1" w14:textId="77777777" w:rsidR="009615AB" w:rsidRDefault="009615AB" w:rsidP="00736A1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embedRegular r:id="rId1" w:fontKey="{4E50D145-703C-41C7-A064-336748672051}"/>
  </w:font>
  <w:font w:name="Calibri">
    <w:panose1 w:val="020F0502020204030204"/>
    <w:charset w:val="EE"/>
    <w:family w:val="swiss"/>
    <w:pitch w:val="variable"/>
    <w:sig w:usb0="E4002EFF" w:usb1="C000247B" w:usb2="00000009" w:usb3="00000000" w:csb0="000001FF" w:csb1="00000000"/>
    <w:embedRegular r:id="rId2" w:fontKey="{CD9F14D2-5FB9-4746-B5B1-74BE85085586}"/>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59662E" w14:textId="77777777" w:rsidR="009615AB" w:rsidRDefault="009615AB" w:rsidP="00736A1D">
      <w:pPr>
        <w:spacing w:line="240" w:lineRule="auto"/>
      </w:pPr>
      <w:r>
        <w:separator/>
      </w:r>
    </w:p>
  </w:footnote>
  <w:footnote w:type="continuationSeparator" w:id="0">
    <w:p w14:paraId="349045E6" w14:textId="77777777" w:rsidR="009615AB" w:rsidRDefault="009615AB" w:rsidP="00736A1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74162A"/>
    <w:multiLevelType w:val="multilevel"/>
    <w:tmpl w:val="16AA00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86078A0"/>
    <w:multiLevelType w:val="multilevel"/>
    <w:tmpl w:val="CF06A9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B4D2CF0"/>
    <w:multiLevelType w:val="multilevel"/>
    <w:tmpl w:val="3C8E75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689643473">
    <w:abstractNumId w:val="2"/>
  </w:num>
  <w:num w:numId="2" w16cid:durableId="1050416663">
    <w:abstractNumId w:val="0"/>
  </w:num>
  <w:num w:numId="3" w16cid:durableId="16465428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removePersonalInformation/>
  <w:removeDateAndTime/>
  <w:embedTrueType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7445"/>
    <w:rsid w:val="006567C1"/>
    <w:rsid w:val="006A7445"/>
    <w:rsid w:val="00736A1D"/>
    <w:rsid w:val="007B1D90"/>
    <w:rsid w:val="009610E3"/>
    <w:rsid w:val="009615AB"/>
    <w:rsid w:val="009867E3"/>
    <w:rsid w:val="00A63A44"/>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B3C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sl" w:eastAsia="sl-SI"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paragraph" w:styleId="Naslov1">
    <w:name w:val="heading 1"/>
    <w:basedOn w:val="Navaden"/>
    <w:next w:val="Navaden"/>
    <w:uiPriority w:val="9"/>
    <w:qFormat/>
    <w:pPr>
      <w:keepNext/>
      <w:keepLines/>
      <w:spacing w:before="400" w:after="120"/>
      <w:outlineLvl w:val="0"/>
    </w:pPr>
    <w:rPr>
      <w:sz w:val="40"/>
      <w:szCs w:val="40"/>
    </w:rPr>
  </w:style>
  <w:style w:type="paragraph" w:styleId="Naslov2">
    <w:name w:val="heading 2"/>
    <w:basedOn w:val="Navaden"/>
    <w:next w:val="Navaden"/>
    <w:uiPriority w:val="9"/>
    <w:unhideWhenUsed/>
    <w:qFormat/>
    <w:pPr>
      <w:keepNext/>
      <w:keepLines/>
      <w:spacing w:before="360" w:after="120"/>
      <w:outlineLvl w:val="1"/>
    </w:pPr>
    <w:rPr>
      <w:sz w:val="32"/>
      <w:szCs w:val="32"/>
    </w:rPr>
  </w:style>
  <w:style w:type="paragraph" w:styleId="Naslov3">
    <w:name w:val="heading 3"/>
    <w:basedOn w:val="Navaden"/>
    <w:next w:val="Navaden"/>
    <w:uiPriority w:val="9"/>
    <w:unhideWhenUsed/>
    <w:qFormat/>
    <w:pPr>
      <w:keepNext/>
      <w:keepLines/>
      <w:spacing w:before="320" w:after="80"/>
      <w:outlineLvl w:val="2"/>
    </w:pPr>
    <w:rPr>
      <w:color w:val="434343"/>
      <w:sz w:val="28"/>
      <w:szCs w:val="28"/>
    </w:rPr>
  </w:style>
  <w:style w:type="paragraph" w:styleId="Naslov4">
    <w:name w:val="heading 4"/>
    <w:basedOn w:val="Navaden"/>
    <w:next w:val="Navaden"/>
    <w:uiPriority w:val="9"/>
    <w:semiHidden/>
    <w:unhideWhenUsed/>
    <w:qFormat/>
    <w:pPr>
      <w:keepNext/>
      <w:keepLines/>
      <w:spacing w:before="280" w:after="80"/>
      <w:outlineLvl w:val="3"/>
    </w:pPr>
    <w:rPr>
      <w:color w:val="666666"/>
      <w:sz w:val="24"/>
      <w:szCs w:val="24"/>
    </w:rPr>
  </w:style>
  <w:style w:type="paragraph" w:styleId="Naslov5">
    <w:name w:val="heading 5"/>
    <w:basedOn w:val="Navaden"/>
    <w:next w:val="Navaden"/>
    <w:uiPriority w:val="9"/>
    <w:semiHidden/>
    <w:unhideWhenUsed/>
    <w:qFormat/>
    <w:pPr>
      <w:keepNext/>
      <w:keepLines/>
      <w:spacing w:before="240" w:after="80"/>
      <w:outlineLvl w:val="4"/>
    </w:pPr>
    <w:rPr>
      <w:color w:val="666666"/>
    </w:rPr>
  </w:style>
  <w:style w:type="paragraph" w:styleId="Naslov6">
    <w:name w:val="heading 6"/>
    <w:basedOn w:val="Navaden"/>
    <w:next w:val="Navaden"/>
    <w:uiPriority w:val="9"/>
    <w:semiHidden/>
    <w:unhideWhenUsed/>
    <w:qFormat/>
    <w:pPr>
      <w:keepNext/>
      <w:keepLines/>
      <w:spacing w:before="240" w:after="80"/>
      <w:outlineLvl w:val="5"/>
    </w:pPr>
    <w:rPr>
      <w:i/>
      <w:iCs/>
      <w:color w:val="666666"/>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Naslov">
    <w:name w:val="Title"/>
    <w:basedOn w:val="Navaden"/>
    <w:next w:val="Navaden"/>
    <w:uiPriority w:val="10"/>
    <w:qFormat/>
    <w:pPr>
      <w:keepNext/>
      <w:keepLines/>
      <w:spacing w:after="60"/>
    </w:pPr>
    <w:rPr>
      <w:sz w:val="52"/>
      <w:szCs w:val="52"/>
    </w:rPr>
  </w:style>
  <w:style w:type="paragraph" w:styleId="Podnaslov">
    <w:name w:val="Subtitle"/>
    <w:basedOn w:val="Navaden"/>
    <w:next w:val="Navaden"/>
    <w:uiPriority w:val="11"/>
    <w:qFormat/>
    <w:pPr>
      <w:keepNext/>
      <w:keepLines/>
      <w:spacing w:after="320"/>
    </w:pPr>
    <w:rPr>
      <w:color w:val="666666"/>
      <w:sz w:val="30"/>
      <w:szCs w:val="30"/>
    </w:rPr>
  </w:style>
  <w:style w:type="table" w:customStyle="1" w:styleId="a">
    <w:basedOn w:val="TableNormal"/>
    <w:tblPr>
      <w:tblStyleRowBandSize w:val="1"/>
      <w:tblStyleColBandSize w:val="1"/>
    </w:tblPr>
  </w:style>
  <w:style w:type="paragraph" w:styleId="Pripombabesedilo">
    <w:name w:val="annotation text"/>
    <w:basedOn w:val="Navaden"/>
    <w:link w:val="PripombabesediloZnak"/>
    <w:uiPriority w:val="99"/>
    <w:semiHidden/>
    <w:unhideWhenUsed/>
    <w:pPr>
      <w:spacing w:line="240" w:lineRule="auto"/>
    </w:pPr>
    <w:rPr>
      <w:sz w:val="20"/>
      <w:szCs w:val="20"/>
    </w:rPr>
  </w:style>
  <w:style w:type="character" w:customStyle="1" w:styleId="PripombabesediloZnak">
    <w:name w:val="Pripomba – besedilo Znak"/>
    <w:basedOn w:val="Privzetapisavaodstavka"/>
    <w:link w:val="Pripombabesedilo"/>
    <w:uiPriority w:val="99"/>
    <w:semiHidden/>
    <w:rPr>
      <w:sz w:val="20"/>
      <w:szCs w:val="20"/>
    </w:rPr>
  </w:style>
  <w:style w:type="character" w:styleId="Pripombasklic">
    <w:name w:val="annotation reference"/>
    <w:basedOn w:val="Privzetapisavaodstavka"/>
    <w:uiPriority w:val="99"/>
    <w:semiHidden/>
    <w:unhideWhenUsed/>
    <w:rPr>
      <w:sz w:val="16"/>
      <w:szCs w:val="16"/>
    </w:rPr>
  </w:style>
  <w:style w:type="table" w:styleId="Tabelamrea">
    <w:name w:val="Table Grid"/>
    <w:basedOn w:val="Navadnatabela"/>
    <w:uiPriority w:val="39"/>
    <w:rsid w:val="009867E3"/>
    <w:pPr>
      <w:spacing w:line="240" w:lineRule="auto"/>
    </w:pPr>
    <w:rPr>
      <w:rFonts w:asciiTheme="minorHAnsi" w:eastAsiaTheme="minorHAnsi" w:hAnsiTheme="minorHAnsi" w:cstheme="minorBidi"/>
      <w:kern w:val="2"/>
      <w:lang w:val="sl-SI"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lava">
    <w:name w:val="header"/>
    <w:basedOn w:val="Navaden"/>
    <w:link w:val="GlavaZnak"/>
    <w:uiPriority w:val="99"/>
    <w:unhideWhenUsed/>
    <w:rsid w:val="00736A1D"/>
    <w:pPr>
      <w:tabs>
        <w:tab w:val="center" w:pos="4536"/>
        <w:tab w:val="right" w:pos="9072"/>
      </w:tabs>
      <w:spacing w:line="240" w:lineRule="auto"/>
    </w:pPr>
  </w:style>
  <w:style w:type="character" w:customStyle="1" w:styleId="GlavaZnak">
    <w:name w:val="Glava Znak"/>
    <w:basedOn w:val="Privzetapisavaodstavka"/>
    <w:link w:val="Glava"/>
    <w:uiPriority w:val="99"/>
    <w:rsid w:val="00736A1D"/>
  </w:style>
  <w:style w:type="paragraph" w:styleId="Noga">
    <w:name w:val="footer"/>
    <w:basedOn w:val="Navaden"/>
    <w:link w:val="NogaZnak"/>
    <w:uiPriority w:val="99"/>
    <w:unhideWhenUsed/>
    <w:rsid w:val="00736A1D"/>
    <w:pPr>
      <w:tabs>
        <w:tab w:val="center" w:pos="4536"/>
        <w:tab w:val="right" w:pos="9072"/>
      </w:tabs>
      <w:spacing w:line="240" w:lineRule="auto"/>
    </w:pPr>
  </w:style>
  <w:style w:type="character" w:customStyle="1" w:styleId="NogaZnak">
    <w:name w:val="Noga Znak"/>
    <w:basedOn w:val="Privzetapisavaodstavka"/>
    <w:link w:val="Noga"/>
    <w:uiPriority w:val="99"/>
    <w:rsid w:val="00736A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mn.gov/doc/assets/Communities-of-Practice-Manual-2018_tcm1089-355667.pdf" TargetMode="External"/><Relationship Id="rId18" Type="http://schemas.openxmlformats.org/officeDocument/2006/relationships/hyperlink" Target="https://journals.sagepub.com/doi/full/10.1177/0018726716661040"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doi.org/10.1504/IJLIC.2011.037361" TargetMode="External"/><Relationship Id="rId7" Type="http://schemas.openxmlformats.org/officeDocument/2006/relationships/image" Target="media/image1.png"/><Relationship Id="rId12" Type="http://schemas.openxmlformats.org/officeDocument/2006/relationships/hyperlink" Target="https://doi.org/10.1080/08985620410001677835" TargetMode="External"/><Relationship Id="rId17" Type="http://schemas.openxmlformats.org/officeDocument/2006/relationships/hyperlink" Target="https://cordis.europa.eu/project/id/788204/results" TargetMode="External"/><Relationship Id="rId25" Type="http://schemas.openxmlformats.org/officeDocument/2006/relationships/hyperlink" Target="https://psycnet.apa.org/doi/10.1017/CBO9780511803932" TargetMode="External"/><Relationship Id="rId2" Type="http://schemas.openxmlformats.org/officeDocument/2006/relationships/styles" Target="styles.xml"/><Relationship Id="rId16" Type="http://schemas.openxmlformats.org/officeDocument/2006/relationships/hyperlink" Target="https://psycnet.apa.org/doi/10.1177/1523422303005002002" TargetMode="External"/><Relationship Id="rId20" Type="http://schemas.openxmlformats.org/officeDocument/2006/relationships/hyperlink" Target="https://doi.org/10.1111/j.1467-6486.2006.00618.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177/0165551505057016" TargetMode="External"/><Relationship Id="rId24" Type="http://schemas.openxmlformats.org/officeDocument/2006/relationships/hyperlink" Target="https://scholarsbank.uoregon.edu/server/api/core/bitstreams/d1fddebc-8756-4647-9aef-80046f02df59/content" TargetMode="External"/><Relationship Id="rId5" Type="http://schemas.openxmlformats.org/officeDocument/2006/relationships/footnotes" Target="footnotes.xml"/><Relationship Id="rId15" Type="http://schemas.openxmlformats.org/officeDocument/2006/relationships/hyperlink" Target="https://doi.org/10.1108/JWL-07-2016-0062?urlappend=%3Futm_source%3Dresearchgate.net%26medium%3Darticle" TargetMode="External"/><Relationship Id="rId23" Type="http://schemas.openxmlformats.org/officeDocument/2006/relationships/hyperlink" Target="https://cordis.europa.eu/project/id/788204/results" TargetMode="External"/><Relationship Id="rId10" Type="http://schemas.openxmlformats.org/officeDocument/2006/relationships/hyperlink" Target="https://doi.org/10.3384/rela.2000-7426.rela0071" TargetMode="External"/><Relationship Id="rId19" Type="http://schemas.openxmlformats.org/officeDocument/2006/relationships/hyperlink" Target="https://cordis.europa.eu/project/id/788204/results" TargetMode="External"/><Relationship Id="rId4" Type="http://schemas.openxmlformats.org/officeDocument/2006/relationships/webSettings" Target="webSettings.xml"/><Relationship Id="rId9" Type="http://schemas.openxmlformats.org/officeDocument/2006/relationships/hyperlink" Target="https://cordis.europa.eu/project/id/788204/results" TargetMode="External"/><Relationship Id="rId14" Type="http://schemas.openxmlformats.org/officeDocument/2006/relationships/hyperlink" Target="https://shs.hal.science/halshs-00489632/file/Kimble_2004.pdf" TargetMode="External"/><Relationship Id="rId22" Type="http://schemas.openxmlformats.org/officeDocument/2006/relationships/hyperlink" Target="https://www.doi.org/https://doi.org/10.1080/09589236.2021.1935804" TargetMode="External"/><Relationship Id="rId27" Type="http://schemas.openxmlformats.org/officeDocument/2006/relationships/theme" Target="theme/theme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5967</Words>
  <Characters>34013</Characters>
  <Application>Microsoft Office Word</Application>
  <DocSecurity>0</DocSecurity>
  <Lines>283</Lines>
  <Paragraphs>79</Paragraphs>
  <ScaleCrop>false</ScaleCrop>
  <Company/>
  <LinksUpToDate>false</LinksUpToDate>
  <CharactersWithSpaces>39901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2025-11-19T21:16:00Z</dcterms:created>
  <dcterms:modified xsi:type="dcterms:W3CDTF">2026-01-04T11:03:00Z</dcterms:modified>
</cp:coreProperties>
</file>