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E4F3A" w14:textId="2592D612" w:rsidR="00B116FD" w:rsidRDefault="191E3ADC" w:rsidP="008041B9">
      <w:pPr>
        <w:pStyle w:val="Naslov1"/>
        <w:jc w:val="both"/>
      </w:pPr>
      <w:r w:rsidRPr="00F96048">
        <w:t>Upravljanje talentov v organizacijah: od prepoznavanja potenciala do nasledstvenega načrtovanja</w:t>
      </w:r>
    </w:p>
    <w:p w14:paraId="7ED3AAF8" w14:textId="45CF986C" w:rsidR="003C2796" w:rsidRPr="003C2796" w:rsidRDefault="003C2796" w:rsidP="008041B9">
      <w:pPr>
        <w:jc w:val="both"/>
        <w:rPr>
          <w:rFonts w:eastAsia="Aptos" w:cs="Aptos"/>
          <w:i/>
          <w:iCs/>
          <w:sz w:val="22"/>
          <w:szCs w:val="22"/>
        </w:rPr>
      </w:pPr>
      <w:r w:rsidRPr="003C2796">
        <w:rPr>
          <w:rFonts w:eastAsia="Aptos" w:cs="Aptos"/>
          <w:i/>
          <w:iCs/>
          <w:sz w:val="22"/>
          <w:szCs w:val="22"/>
        </w:rPr>
        <w:t>Lana Papič, avgust 2026</w:t>
      </w:r>
    </w:p>
    <w:p w14:paraId="1E0790C6" w14:textId="77777777" w:rsidR="00C41EF4" w:rsidRPr="00C41EF4" w:rsidRDefault="00C41EF4" w:rsidP="008041B9">
      <w:pPr>
        <w:pStyle w:val="Naslov2"/>
        <w:jc w:val="both"/>
      </w:pPr>
      <w:r w:rsidRPr="00C41EF4">
        <w:t>Povzetek</w:t>
      </w:r>
    </w:p>
    <w:p w14:paraId="10A9B3D7" w14:textId="2B7A4E38" w:rsidR="001712C4" w:rsidRPr="001712C4" w:rsidRDefault="001712C4" w:rsidP="008041B9">
      <w:pPr>
        <w:jc w:val="both"/>
        <w:rPr>
          <w:rFonts w:eastAsia="Aptos" w:cs="Aptos"/>
          <w:sz w:val="22"/>
          <w:szCs w:val="22"/>
        </w:rPr>
      </w:pPr>
      <w:r w:rsidRPr="001712C4">
        <w:rPr>
          <w:rFonts w:eastAsia="Aptos" w:cs="Aptos"/>
          <w:sz w:val="22"/>
          <w:szCs w:val="22"/>
        </w:rPr>
        <w:t xml:space="preserve">Za organizacije je sistematično prepoznavanje in razvoj zaposlenih </w:t>
      </w:r>
      <w:r w:rsidR="00EE39D2">
        <w:rPr>
          <w:rFonts w:eastAsia="Aptos" w:cs="Aptos"/>
          <w:sz w:val="22"/>
          <w:szCs w:val="22"/>
        </w:rPr>
        <w:t xml:space="preserve">pomembno </w:t>
      </w:r>
      <w:r w:rsidRPr="001712C4">
        <w:rPr>
          <w:rFonts w:eastAsia="Aptos" w:cs="Aptos"/>
          <w:sz w:val="22"/>
          <w:szCs w:val="22"/>
        </w:rPr>
        <w:t>za zagotavljanje prihodnjih strokovnih in vodstvenih kapacitet.</w:t>
      </w:r>
      <w:r w:rsidR="00875557">
        <w:rPr>
          <w:rFonts w:eastAsia="Aptos" w:cs="Aptos"/>
          <w:sz w:val="22"/>
          <w:szCs w:val="22"/>
        </w:rPr>
        <w:t xml:space="preserve"> V članku so predstavljeni </w:t>
      </w:r>
      <w:r w:rsidRPr="001712C4">
        <w:rPr>
          <w:rFonts w:eastAsia="Aptos" w:cs="Aptos"/>
          <w:sz w:val="22"/>
          <w:szCs w:val="22"/>
        </w:rPr>
        <w:t>pogosto uporabljen</w:t>
      </w:r>
      <w:r w:rsidR="00875557">
        <w:rPr>
          <w:rFonts w:eastAsia="Aptos" w:cs="Aptos"/>
          <w:sz w:val="22"/>
          <w:szCs w:val="22"/>
        </w:rPr>
        <w:t xml:space="preserve">i </w:t>
      </w:r>
      <w:r w:rsidRPr="001712C4">
        <w:rPr>
          <w:rFonts w:eastAsia="Aptos" w:cs="Aptos"/>
          <w:sz w:val="22"/>
          <w:szCs w:val="22"/>
        </w:rPr>
        <w:t>pristop</w:t>
      </w:r>
      <w:r w:rsidR="00875557">
        <w:rPr>
          <w:rFonts w:eastAsia="Aptos" w:cs="Aptos"/>
          <w:sz w:val="22"/>
          <w:szCs w:val="22"/>
        </w:rPr>
        <w:t>i</w:t>
      </w:r>
      <w:r w:rsidRPr="001712C4">
        <w:rPr>
          <w:rFonts w:eastAsia="Aptos" w:cs="Aptos"/>
          <w:sz w:val="22"/>
          <w:szCs w:val="22"/>
        </w:rPr>
        <w:t xml:space="preserve"> identifikacije talentov, ocenjevanja potenciala in načrtovanja njihovega nadaljnjega razvoja. Posebna pozornost je namenjena razlikovanju med posameznikovo trenutno delovno uspešnostjo in potencialom za prevzem zahtevnejših prihodnjih vlog ter metodam, s katerimi organizacije ta potencial ocenjujejo. Pri tem sta pomembni predvsem zanesljivost in veljavnost uporabljenih meril. V nadaljevanju so predstavljeni različni načini razvoja zaposlenih, ki vključujejo tako načrtovane razvojne aktivnosti kot tudi učenje skozi neposredne delovne izkušnje, mentorstvo in coaching.</w:t>
      </w:r>
      <w:r w:rsidR="000A1013">
        <w:rPr>
          <w:rFonts w:eastAsia="Aptos" w:cs="Aptos"/>
          <w:sz w:val="22"/>
          <w:szCs w:val="22"/>
        </w:rPr>
        <w:t xml:space="preserve"> </w:t>
      </w:r>
      <w:r w:rsidR="000A1013" w:rsidRPr="000A1013">
        <w:rPr>
          <w:rFonts w:eastAsia="Aptos" w:cs="Aptos"/>
          <w:sz w:val="22"/>
          <w:szCs w:val="22"/>
        </w:rPr>
        <w:t>Pozornost je namenjena tudi bazenom talentov, ki predstavljajo vir potencialnih kandidatov za prihodnje ključne vloge, ter njihovi povezanosti z notranjo mobilnostjo in nasledstvenim načrtovanjem.</w:t>
      </w:r>
      <w:r w:rsidR="00C70521">
        <w:rPr>
          <w:rFonts w:eastAsia="Aptos" w:cs="Aptos"/>
          <w:sz w:val="22"/>
          <w:szCs w:val="22"/>
        </w:rPr>
        <w:t xml:space="preserve"> </w:t>
      </w:r>
      <w:r w:rsidRPr="001712C4">
        <w:rPr>
          <w:rFonts w:eastAsia="Aptos" w:cs="Aptos"/>
          <w:sz w:val="22"/>
          <w:szCs w:val="22"/>
        </w:rPr>
        <w:t>Učinkovito upravljanje talentov zahteva povezovanje teh procesov in omogočanje razvoja tudi takrat, ko neposredna možnost napredovanja še ni na voljo.</w:t>
      </w:r>
    </w:p>
    <w:p w14:paraId="5964F1C1" w14:textId="74B3A3D9" w:rsidR="001712C4" w:rsidRDefault="001712C4" w:rsidP="008041B9">
      <w:pPr>
        <w:jc w:val="both"/>
        <w:rPr>
          <w:rFonts w:eastAsia="Aptos" w:cs="Aptos"/>
          <w:sz w:val="22"/>
          <w:szCs w:val="22"/>
        </w:rPr>
      </w:pPr>
      <w:r w:rsidRPr="001712C4">
        <w:rPr>
          <w:rFonts w:eastAsia="Aptos" w:cs="Aptos"/>
          <w:b/>
          <w:bCs/>
          <w:sz w:val="22"/>
          <w:szCs w:val="22"/>
        </w:rPr>
        <w:t>Ključne besede:</w:t>
      </w:r>
      <w:r w:rsidR="004F20A0">
        <w:rPr>
          <w:rFonts w:eastAsia="Aptos" w:cs="Aptos"/>
          <w:b/>
          <w:bCs/>
          <w:sz w:val="22"/>
          <w:szCs w:val="22"/>
        </w:rPr>
        <w:t xml:space="preserve"> </w:t>
      </w:r>
      <w:r w:rsidR="004F20A0" w:rsidRPr="004F20A0">
        <w:rPr>
          <w:rFonts w:eastAsia="Aptos" w:cs="Aptos"/>
          <w:sz w:val="22"/>
          <w:szCs w:val="22"/>
        </w:rPr>
        <w:t xml:space="preserve">upravljanje </w:t>
      </w:r>
      <w:r w:rsidR="00841EA3">
        <w:rPr>
          <w:rFonts w:eastAsia="Aptos" w:cs="Aptos"/>
          <w:sz w:val="22"/>
          <w:szCs w:val="22"/>
        </w:rPr>
        <w:t>talentov</w:t>
      </w:r>
      <w:r w:rsidR="004F20A0" w:rsidRPr="004F20A0">
        <w:rPr>
          <w:rFonts w:eastAsia="Aptos" w:cs="Aptos"/>
          <w:sz w:val="22"/>
          <w:szCs w:val="22"/>
        </w:rPr>
        <w:t>,</w:t>
      </w:r>
      <w:r w:rsidR="004F20A0">
        <w:rPr>
          <w:rFonts w:eastAsia="Aptos" w:cs="Aptos"/>
          <w:b/>
          <w:bCs/>
          <w:sz w:val="22"/>
          <w:szCs w:val="22"/>
        </w:rPr>
        <w:t xml:space="preserve"> </w:t>
      </w:r>
      <w:r w:rsidRPr="001712C4">
        <w:rPr>
          <w:rFonts w:eastAsia="Aptos" w:cs="Aptos"/>
          <w:sz w:val="22"/>
          <w:szCs w:val="22"/>
        </w:rPr>
        <w:t xml:space="preserve"> ocenjevanje potenciala, bazen talentov, notranja mobilnost, nasledstveno načrtovanje</w:t>
      </w:r>
      <w:r w:rsidR="004F20A0">
        <w:rPr>
          <w:rFonts w:eastAsia="Aptos" w:cs="Aptos"/>
          <w:sz w:val="22"/>
          <w:szCs w:val="22"/>
        </w:rPr>
        <w:t>.</w:t>
      </w:r>
    </w:p>
    <w:p w14:paraId="16A9C0CC" w14:textId="074A7DF3" w:rsidR="0048475A" w:rsidRDefault="0048475A" w:rsidP="008041B9">
      <w:pPr>
        <w:pStyle w:val="Naslov2"/>
        <w:jc w:val="both"/>
      </w:pPr>
      <w:r>
        <w:t>Abstract</w:t>
      </w:r>
    </w:p>
    <w:p w14:paraId="396B5E6F" w14:textId="77777777" w:rsidR="0048475A" w:rsidRPr="0048475A" w:rsidRDefault="0048475A" w:rsidP="008041B9">
      <w:pPr>
        <w:jc w:val="both"/>
        <w:rPr>
          <w:rFonts w:eastAsia="Aptos" w:cs="Aptos"/>
          <w:sz w:val="22"/>
          <w:szCs w:val="22"/>
        </w:rPr>
      </w:pPr>
      <w:r w:rsidRPr="0048475A">
        <w:rPr>
          <w:rFonts w:eastAsia="Aptos" w:cs="Aptos"/>
          <w:sz w:val="22"/>
          <w:szCs w:val="22"/>
        </w:rPr>
        <w:t>For organizations, the systematic identification and development of employees is essential for building future professional and leadership capacity. This article examines commonly used approaches to talent identification, potential assessment, and the planning of further employee development. Particular attention is given to the distinction between an individual’s current job performance and their potential to take on more demanding future roles, as well as to the methods organizations use to assess this potential. In this context, the reliability and validity of assessment criteria are especially important. The article also presents different approaches to employee development, including structured development activities, learning through direct work experience, mentoring, and coaching. It further discusses the role of talent pools as a source of potential candidates for future key positions and their connection with internal mobility and succession planning. Effective talent management therefore requires these processes to be integrated and employees to be offered continued development opportunities even when immediate promotion is not available.</w:t>
      </w:r>
    </w:p>
    <w:p w14:paraId="6712AA1B" w14:textId="74249478" w:rsidR="0048475A" w:rsidRPr="0048475A" w:rsidRDefault="0048475A" w:rsidP="008041B9">
      <w:pPr>
        <w:jc w:val="both"/>
        <w:rPr>
          <w:rFonts w:eastAsia="Aptos" w:cs="Aptos"/>
          <w:sz w:val="22"/>
          <w:szCs w:val="22"/>
        </w:rPr>
      </w:pPr>
      <w:r w:rsidRPr="003C2796">
        <w:rPr>
          <w:rFonts w:eastAsia="Aptos" w:cs="Aptos"/>
          <w:b/>
          <w:bCs/>
          <w:sz w:val="22"/>
          <w:szCs w:val="22"/>
        </w:rPr>
        <w:t>Keywords:</w:t>
      </w:r>
      <w:r w:rsidRPr="003C2796">
        <w:rPr>
          <w:rFonts w:eastAsia="Aptos" w:cs="Aptos"/>
          <w:sz w:val="22"/>
          <w:szCs w:val="22"/>
        </w:rPr>
        <w:t xml:space="preserve"> </w:t>
      </w:r>
      <w:r w:rsidRPr="0048475A">
        <w:rPr>
          <w:rFonts w:eastAsia="Aptos" w:cs="Aptos"/>
          <w:sz w:val="22"/>
          <w:szCs w:val="22"/>
        </w:rPr>
        <w:t>talent management, potential assessment, talent pool, internal mobility, succession planning</w:t>
      </w:r>
      <w:r>
        <w:rPr>
          <w:rFonts w:eastAsia="Aptos" w:cs="Aptos"/>
          <w:sz w:val="22"/>
          <w:szCs w:val="22"/>
        </w:rPr>
        <w:t>.</w:t>
      </w:r>
    </w:p>
    <w:p w14:paraId="2F451482" w14:textId="7E386644" w:rsidR="00C41EF4" w:rsidRPr="00F96048" w:rsidRDefault="00C41EF4" w:rsidP="008041B9">
      <w:pPr>
        <w:pStyle w:val="Naslov2"/>
        <w:jc w:val="both"/>
      </w:pPr>
      <w:r>
        <w:lastRenderedPageBreak/>
        <w:t>Uvod</w:t>
      </w:r>
    </w:p>
    <w:p w14:paraId="2AE308D7" w14:textId="5CE883F7" w:rsidR="00B116FD" w:rsidRDefault="6B06189D" w:rsidP="008041B9">
      <w:pPr>
        <w:spacing w:before="240" w:after="240"/>
        <w:jc w:val="both"/>
        <w:rPr>
          <w:rFonts w:eastAsia="Aptos" w:cs="Aptos"/>
          <w:sz w:val="22"/>
          <w:szCs w:val="22"/>
        </w:rPr>
      </w:pPr>
      <w:r w:rsidRPr="00F96048">
        <w:rPr>
          <w:rFonts w:eastAsia="Aptos" w:cs="Aptos"/>
          <w:sz w:val="22"/>
          <w:szCs w:val="22"/>
        </w:rPr>
        <w:t>V zadnjih desetletjih organizacije vse več pozornosti</w:t>
      </w:r>
      <w:r w:rsidR="4CFB7A77" w:rsidRPr="00F96048">
        <w:rPr>
          <w:rFonts w:eastAsia="Aptos" w:cs="Aptos"/>
          <w:sz w:val="22"/>
          <w:szCs w:val="22"/>
        </w:rPr>
        <w:t xml:space="preserve"> posvečajo</w:t>
      </w:r>
      <w:r w:rsidRPr="00F96048">
        <w:rPr>
          <w:rFonts w:eastAsia="Aptos" w:cs="Aptos"/>
          <w:sz w:val="22"/>
          <w:szCs w:val="22"/>
        </w:rPr>
        <w:t xml:space="preserve"> vprašanju, </w:t>
      </w:r>
      <w:r w:rsidR="00063673" w:rsidRPr="00F96048">
        <w:rPr>
          <w:rFonts w:eastAsia="Aptos" w:cs="Aptos"/>
          <w:sz w:val="22"/>
          <w:szCs w:val="22"/>
        </w:rPr>
        <w:t xml:space="preserve">kako </w:t>
      </w:r>
      <w:r w:rsidRPr="00F96048">
        <w:rPr>
          <w:rFonts w:eastAsia="Aptos" w:cs="Aptos"/>
          <w:sz w:val="22"/>
          <w:szCs w:val="22"/>
        </w:rPr>
        <w:t>prepoznati, razvijati in zadržati zaposlene, k</w:t>
      </w:r>
      <w:r w:rsidR="00063673" w:rsidRPr="00F96048">
        <w:rPr>
          <w:rFonts w:eastAsia="Aptos" w:cs="Aptos"/>
          <w:sz w:val="22"/>
          <w:szCs w:val="22"/>
        </w:rPr>
        <w:t>i s svojim znanjem, sposobnostmi</w:t>
      </w:r>
      <w:r w:rsidR="5390B430" w:rsidRPr="00F96048">
        <w:rPr>
          <w:rFonts w:eastAsia="Aptos" w:cs="Aptos"/>
          <w:sz w:val="22"/>
          <w:szCs w:val="22"/>
        </w:rPr>
        <w:t xml:space="preserve"> in kompetenc</w:t>
      </w:r>
      <w:r w:rsidR="00063673" w:rsidRPr="00F96048">
        <w:rPr>
          <w:rFonts w:eastAsia="Aptos" w:cs="Aptos"/>
          <w:sz w:val="22"/>
          <w:szCs w:val="22"/>
        </w:rPr>
        <w:t>ami</w:t>
      </w:r>
      <w:r w:rsidR="5390B430" w:rsidRPr="00F96048">
        <w:rPr>
          <w:rFonts w:eastAsia="Aptos" w:cs="Aptos"/>
          <w:sz w:val="22"/>
          <w:szCs w:val="22"/>
        </w:rPr>
        <w:t xml:space="preserve"> </w:t>
      </w:r>
      <w:r w:rsidRPr="00F96048">
        <w:rPr>
          <w:rFonts w:eastAsia="Aptos" w:cs="Aptos"/>
          <w:sz w:val="22"/>
          <w:szCs w:val="22"/>
        </w:rPr>
        <w:t xml:space="preserve">prispevajo k </w:t>
      </w:r>
      <w:r w:rsidR="00063673" w:rsidRPr="00F96048">
        <w:rPr>
          <w:rFonts w:eastAsia="Aptos" w:cs="Aptos"/>
          <w:sz w:val="22"/>
          <w:szCs w:val="22"/>
        </w:rPr>
        <w:t>organizacijski us</w:t>
      </w:r>
      <w:r w:rsidR="00063673" w:rsidRPr="003C2796">
        <w:rPr>
          <w:rFonts w:eastAsia="Aptos" w:cs="Aptos"/>
          <w:sz w:val="22"/>
          <w:szCs w:val="22"/>
        </w:rPr>
        <w:t>pešno</w:t>
      </w:r>
      <w:r w:rsidR="00063673" w:rsidRPr="00F96048">
        <w:rPr>
          <w:rFonts w:eastAsia="Aptos" w:cs="Aptos"/>
          <w:sz w:val="22"/>
          <w:szCs w:val="22"/>
        </w:rPr>
        <w:t xml:space="preserve">sti </w:t>
      </w:r>
      <w:r w:rsidR="41C6D863" w:rsidRPr="00F96048">
        <w:rPr>
          <w:rFonts w:eastAsia="Aptos" w:cs="Aptos"/>
          <w:sz w:val="22"/>
          <w:szCs w:val="22"/>
        </w:rPr>
        <w:t>(Momand, 2023)</w:t>
      </w:r>
      <w:r w:rsidRPr="00F96048">
        <w:rPr>
          <w:rFonts w:eastAsia="Aptos" w:cs="Aptos"/>
          <w:sz w:val="22"/>
          <w:szCs w:val="22"/>
        </w:rPr>
        <w:t>. V sodobnem poslovnem okolj</w:t>
      </w:r>
      <w:r w:rsidR="00063673" w:rsidRPr="00F96048">
        <w:rPr>
          <w:rFonts w:eastAsia="Aptos" w:cs="Aptos"/>
          <w:sz w:val="22"/>
          <w:szCs w:val="22"/>
        </w:rPr>
        <w:t>u</w:t>
      </w:r>
      <w:r w:rsidR="00C616EF">
        <w:rPr>
          <w:rFonts w:eastAsia="Aptos" w:cs="Aptos"/>
          <w:sz w:val="22"/>
          <w:szCs w:val="22"/>
        </w:rPr>
        <w:t xml:space="preserve"> namreč </w:t>
      </w:r>
      <w:r w:rsidRPr="00F96048">
        <w:rPr>
          <w:rFonts w:eastAsia="Aptos" w:cs="Aptos"/>
          <w:sz w:val="22"/>
          <w:szCs w:val="22"/>
        </w:rPr>
        <w:t xml:space="preserve">konkurenčna prednost ni </w:t>
      </w:r>
      <w:r w:rsidR="00063673" w:rsidRPr="00F96048">
        <w:rPr>
          <w:rFonts w:eastAsia="Aptos" w:cs="Aptos"/>
          <w:sz w:val="22"/>
          <w:szCs w:val="22"/>
        </w:rPr>
        <w:t>odvisna le od finančnih</w:t>
      </w:r>
      <w:r w:rsidR="22E3BA46" w:rsidRPr="00F96048">
        <w:rPr>
          <w:rFonts w:eastAsia="Aptos" w:cs="Aptos"/>
          <w:sz w:val="22"/>
          <w:szCs w:val="22"/>
        </w:rPr>
        <w:t xml:space="preserve"> in tehnolo</w:t>
      </w:r>
      <w:r w:rsidR="00063673" w:rsidRPr="00F96048">
        <w:rPr>
          <w:rFonts w:eastAsia="Aptos" w:cs="Aptos"/>
          <w:sz w:val="22"/>
          <w:szCs w:val="22"/>
        </w:rPr>
        <w:t>ških virov</w:t>
      </w:r>
      <w:r w:rsidR="22E3BA46" w:rsidRPr="00F96048">
        <w:rPr>
          <w:rFonts w:eastAsia="Aptos" w:cs="Aptos"/>
          <w:sz w:val="22"/>
          <w:szCs w:val="22"/>
        </w:rPr>
        <w:t>, temveč</w:t>
      </w:r>
      <w:r w:rsidR="000F1287" w:rsidRPr="00F96048">
        <w:rPr>
          <w:rFonts w:eastAsia="Aptos" w:cs="Aptos"/>
          <w:sz w:val="22"/>
          <w:szCs w:val="22"/>
        </w:rPr>
        <w:t xml:space="preserve"> je v veliki meri določena tudi z lastnostmi zaposlenih, </w:t>
      </w:r>
      <w:r w:rsidR="493FB6E5" w:rsidRPr="00F96048">
        <w:rPr>
          <w:rFonts w:eastAsia="Aptos" w:cs="Aptos"/>
          <w:sz w:val="22"/>
          <w:szCs w:val="22"/>
        </w:rPr>
        <w:t>ki so</w:t>
      </w:r>
      <w:r w:rsidR="007E5BFC">
        <w:rPr>
          <w:rFonts w:eastAsia="Aptos" w:cs="Aptos"/>
          <w:sz w:val="22"/>
          <w:szCs w:val="22"/>
        </w:rPr>
        <w:t xml:space="preserve"> pomembne</w:t>
      </w:r>
      <w:r w:rsidR="008E2439" w:rsidRPr="00F96048">
        <w:rPr>
          <w:rFonts w:eastAsia="Aptos" w:cs="Aptos"/>
          <w:sz w:val="22"/>
          <w:szCs w:val="22"/>
        </w:rPr>
        <w:t xml:space="preserve"> pri prilagajanju na spr</w:t>
      </w:r>
      <w:r w:rsidR="00D25F56">
        <w:rPr>
          <w:rFonts w:eastAsia="Aptos" w:cs="Aptos"/>
          <w:sz w:val="22"/>
          <w:szCs w:val="22"/>
        </w:rPr>
        <w:t>emembe</w:t>
      </w:r>
      <w:r w:rsidR="493FB6E5" w:rsidRPr="00F96048">
        <w:rPr>
          <w:rFonts w:eastAsia="Aptos" w:cs="Aptos"/>
          <w:sz w:val="22"/>
          <w:szCs w:val="22"/>
        </w:rPr>
        <w:t xml:space="preserve"> in posto</w:t>
      </w:r>
      <w:r w:rsidR="00740F50" w:rsidRPr="00F96048">
        <w:rPr>
          <w:rFonts w:eastAsia="Aptos" w:cs="Aptos"/>
          <w:sz w:val="22"/>
          <w:szCs w:val="22"/>
        </w:rPr>
        <w:t>pnem</w:t>
      </w:r>
      <w:r w:rsidR="493FB6E5" w:rsidRPr="00F96048">
        <w:rPr>
          <w:rFonts w:eastAsia="Aptos" w:cs="Aptos"/>
          <w:sz w:val="22"/>
          <w:szCs w:val="22"/>
        </w:rPr>
        <w:t xml:space="preserve"> prevzemanj</w:t>
      </w:r>
      <w:r w:rsidR="00740F50" w:rsidRPr="00F96048">
        <w:rPr>
          <w:rFonts w:eastAsia="Aptos" w:cs="Aptos"/>
          <w:sz w:val="22"/>
          <w:szCs w:val="22"/>
        </w:rPr>
        <w:t>u</w:t>
      </w:r>
      <w:r w:rsidR="493FB6E5" w:rsidRPr="00F96048">
        <w:rPr>
          <w:rFonts w:eastAsia="Aptos" w:cs="Aptos"/>
          <w:sz w:val="22"/>
          <w:szCs w:val="22"/>
        </w:rPr>
        <w:t xml:space="preserve"> zahtevnejših nalog </w:t>
      </w:r>
      <w:r w:rsidR="007E5BFC">
        <w:rPr>
          <w:rFonts w:eastAsia="Aptos" w:cs="Aptos"/>
          <w:sz w:val="22"/>
          <w:szCs w:val="22"/>
        </w:rPr>
        <w:t xml:space="preserve">ter </w:t>
      </w:r>
      <w:r w:rsidR="493FB6E5" w:rsidRPr="00F96048">
        <w:rPr>
          <w:rFonts w:eastAsia="Aptos" w:cs="Aptos"/>
          <w:sz w:val="22"/>
          <w:szCs w:val="22"/>
        </w:rPr>
        <w:t>odgovornosti</w:t>
      </w:r>
      <w:r w:rsidRPr="00F96048">
        <w:rPr>
          <w:rFonts w:eastAsia="Aptos" w:cs="Aptos"/>
          <w:sz w:val="22"/>
          <w:szCs w:val="22"/>
        </w:rPr>
        <w:t xml:space="preserve"> (Lewis in Heckman, 2006).</w:t>
      </w:r>
      <w:r w:rsidR="00EE39D2">
        <w:rPr>
          <w:rFonts w:eastAsia="Aptos" w:cs="Aptos"/>
          <w:sz w:val="22"/>
          <w:szCs w:val="22"/>
        </w:rPr>
        <w:t xml:space="preserve"> </w:t>
      </w:r>
      <w:r w:rsidR="00C76627" w:rsidRPr="00F96048">
        <w:rPr>
          <w:rFonts w:eastAsia="Aptos" w:cs="Aptos"/>
          <w:sz w:val="22"/>
          <w:szCs w:val="22"/>
        </w:rPr>
        <w:t>Upoštevajoč ta spoznanja, raste tudi zanimanje organizacij za upravljanje talentov (</w:t>
      </w:r>
      <w:r w:rsidR="00C76627" w:rsidRPr="00F96048">
        <w:rPr>
          <w:rFonts w:eastAsia="Aptos" w:cs="Aptos"/>
          <w:i/>
          <w:iCs/>
          <w:sz w:val="22"/>
          <w:szCs w:val="22"/>
        </w:rPr>
        <w:t>angl. talent management</w:t>
      </w:r>
      <w:r w:rsidR="00C76627" w:rsidRPr="00F96048">
        <w:rPr>
          <w:rFonts w:eastAsia="Aptos" w:cs="Aptos"/>
          <w:sz w:val="22"/>
          <w:szCs w:val="22"/>
        </w:rPr>
        <w:t xml:space="preserve">), ki zajema sistematično prepoznavanje, razvoj in zadržanje posameznikov, katerih znanja, sposobnosti in </w:t>
      </w:r>
      <w:r w:rsidR="00B64DD2" w:rsidRPr="00F96048">
        <w:rPr>
          <w:rFonts w:eastAsia="Aptos" w:cs="Aptos"/>
          <w:sz w:val="22"/>
          <w:szCs w:val="22"/>
        </w:rPr>
        <w:t>kompetence</w:t>
      </w:r>
      <w:r w:rsidR="000F5456">
        <w:rPr>
          <w:rFonts w:eastAsia="Aptos" w:cs="Aptos"/>
          <w:sz w:val="22"/>
          <w:szCs w:val="22"/>
        </w:rPr>
        <w:t xml:space="preserve"> </w:t>
      </w:r>
      <w:r w:rsidR="00C76627" w:rsidRPr="00F96048">
        <w:rPr>
          <w:rFonts w:eastAsia="Aptos" w:cs="Aptos"/>
          <w:sz w:val="22"/>
          <w:szCs w:val="22"/>
        </w:rPr>
        <w:t xml:space="preserve">prispevajo k doseganju </w:t>
      </w:r>
      <w:r w:rsidR="000F5456">
        <w:rPr>
          <w:rFonts w:eastAsia="Aptos" w:cs="Aptos"/>
          <w:sz w:val="22"/>
          <w:szCs w:val="22"/>
        </w:rPr>
        <w:t xml:space="preserve">organizacijskih ciljev </w:t>
      </w:r>
      <w:r w:rsidR="00C76627" w:rsidRPr="00F96048">
        <w:rPr>
          <w:rFonts w:eastAsia="Aptos" w:cs="Aptos"/>
          <w:sz w:val="22"/>
          <w:szCs w:val="22"/>
        </w:rPr>
        <w:t>(Momand, 2023; Groenewald idr., 2024). Kljub široki uporabi izraza njegova opredelitev ni povsem enotna, saj se v literaturi razlikujejo pogledi na to, koga organizacije prepoznavajo kot talent in kak</w:t>
      </w:r>
      <w:r w:rsidR="00B64DD2" w:rsidRPr="00F96048">
        <w:rPr>
          <w:rFonts w:eastAsia="Aptos" w:cs="Aptos"/>
          <w:sz w:val="22"/>
          <w:szCs w:val="22"/>
        </w:rPr>
        <w:t>o</w:t>
      </w:r>
      <w:r w:rsidR="00C76627" w:rsidRPr="00F96048">
        <w:rPr>
          <w:rFonts w:eastAsia="Aptos" w:cs="Aptos"/>
          <w:sz w:val="22"/>
          <w:szCs w:val="22"/>
        </w:rPr>
        <w:t xml:space="preserve"> </w:t>
      </w:r>
      <w:r w:rsidR="00B64DD2" w:rsidRPr="00F96048">
        <w:rPr>
          <w:rFonts w:eastAsia="Aptos" w:cs="Aptos"/>
          <w:sz w:val="22"/>
          <w:szCs w:val="22"/>
        </w:rPr>
        <w:t xml:space="preserve">se </w:t>
      </w:r>
      <w:r w:rsidR="00C76627" w:rsidRPr="00F96048">
        <w:rPr>
          <w:rFonts w:eastAsia="Aptos" w:cs="Aptos"/>
          <w:sz w:val="22"/>
          <w:szCs w:val="22"/>
        </w:rPr>
        <w:t>upravljanje talentov pove</w:t>
      </w:r>
      <w:r w:rsidR="00B64DD2" w:rsidRPr="00F96048">
        <w:rPr>
          <w:rFonts w:eastAsia="Aptos" w:cs="Aptos"/>
          <w:sz w:val="22"/>
          <w:szCs w:val="22"/>
        </w:rPr>
        <w:t xml:space="preserve">zuje  </w:t>
      </w:r>
      <w:r w:rsidR="00C76627" w:rsidRPr="00F96048">
        <w:rPr>
          <w:rFonts w:eastAsia="Aptos" w:cs="Aptos"/>
          <w:sz w:val="22"/>
          <w:szCs w:val="22"/>
        </w:rPr>
        <w:t>s prihodnjimi kadrovskimi potrebami (Lewis in Heckman, 2006).</w:t>
      </w:r>
      <w:r w:rsidR="00EE39D2">
        <w:rPr>
          <w:rFonts w:eastAsia="Aptos" w:cs="Aptos"/>
          <w:sz w:val="22"/>
          <w:szCs w:val="22"/>
        </w:rPr>
        <w:t xml:space="preserve"> </w:t>
      </w:r>
      <w:r w:rsidRPr="00F96048">
        <w:rPr>
          <w:rFonts w:eastAsia="Aptos" w:cs="Aptos"/>
          <w:sz w:val="22"/>
          <w:szCs w:val="22"/>
        </w:rPr>
        <w:t>Za organizacije</w:t>
      </w:r>
      <w:r w:rsidR="00C12C95" w:rsidRPr="00F96048">
        <w:rPr>
          <w:rFonts w:eastAsia="Aptos" w:cs="Aptos"/>
          <w:sz w:val="22"/>
          <w:szCs w:val="22"/>
        </w:rPr>
        <w:t xml:space="preserve"> je poleg trenutne</w:t>
      </w:r>
      <w:r w:rsidR="00B64DD2" w:rsidRPr="00F96048">
        <w:rPr>
          <w:rFonts w:eastAsia="Aptos" w:cs="Aptos"/>
          <w:sz w:val="22"/>
          <w:szCs w:val="22"/>
        </w:rPr>
        <w:t xml:space="preserve"> </w:t>
      </w:r>
      <w:r w:rsidR="00C12C95" w:rsidRPr="00F96048">
        <w:rPr>
          <w:rFonts w:eastAsia="Aptos" w:cs="Aptos"/>
          <w:sz w:val="22"/>
          <w:szCs w:val="22"/>
        </w:rPr>
        <w:t>delovne uspe</w:t>
      </w:r>
      <w:r w:rsidR="00B72098" w:rsidRPr="00F96048">
        <w:rPr>
          <w:rFonts w:eastAsia="Aptos" w:cs="Aptos"/>
          <w:sz w:val="22"/>
          <w:szCs w:val="22"/>
        </w:rPr>
        <w:t>šnosti</w:t>
      </w:r>
      <w:r w:rsidR="00B64DD2" w:rsidRPr="00F96048">
        <w:rPr>
          <w:rFonts w:eastAsia="Aptos" w:cs="Aptos"/>
          <w:sz w:val="22"/>
          <w:szCs w:val="22"/>
        </w:rPr>
        <w:t xml:space="preserve"> posameznika</w:t>
      </w:r>
      <w:r w:rsidR="00145EDE" w:rsidRPr="00F96048">
        <w:rPr>
          <w:rFonts w:eastAsia="Aptos" w:cs="Aptos"/>
          <w:sz w:val="22"/>
          <w:szCs w:val="22"/>
        </w:rPr>
        <w:t xml:space="preserve"> pomemben</w:t>
      </w:r>
      <w:r w:rsidRPr="00F96048">
        <w:rPr>
          <w:rFonts w:eastAsia="Aptos" w:cs="Aptos"/>
          <w:sz w:val="22"/>
          <w:szCs w:val="22"/>
        </w:rPr>
        <w:t xml:space="preserve"> </w:t>
      </w:r>
      <w:r w:rsidR="2945B7BB" w:rsidRPr="00F96048">
        <w:rPr>
          <w:rFonts w:eastAsia="Aptos" w:cs="Aptos"/>
          <w:sz w:val="22"/>
          <w:szCs w:val="22"/>
        </w:rPr>
        <w:t>tudi</w:t>
      </w:r>
      <w:r w:rsidR="1B441E34" w:rsidRPr="00F96048">
        <w:rPr>
          <w:rFonts w:eastAsia="Aptos" w:cs="Aptos"/>
          <w:sz w:val="22"/>
          <w:szCs w:val="22"/>
        </w:rPr>
        <w:t xml:space="preserve"> izkazan</w:t>
      </w:r>
      <w:r w:rsidR="2945B7BB" w:rsidRPr="00F96048">
        <w:rPr>
          <w:rFonts w:eastAsia="Aptos" w:cs="Aptos"/>
          <w:sz w:val="22"/>
          <w:szCs w:val="22"/>
        </w:rPr>
        <w:t xml:space="preserve"> potencial</w:t>
      </w:r>
      <w:r w:rsidRPr="00F96048">
        <w:rPr>
          <w:rFonts w:eastAsia="Aptos" w:cs="Aptos"/>
          <w:sz w:val="22"/>
          <w:szCs w:val="22"/>
        </w:rPr>
        <w:t xml:space="preserve"> za uspešno prevzemanje zahtevnejših strokovnih ali vodstvenih vlog v prihodnosti. Prepoznavanje potenciala </w:t>
      </w:r>
      <w:r w:rsidR="00C75284">
        <w:rPr>
          <w:rFonts w:eastAsia="Aptos" w:cs="Aptos"/>
          <w:sz w:val="22"/>
          <w:szCs w:val="22"/>
        </w:rPr>
        <w:t xml:space="preserve">tako </w:t>
      </w:r>
      <w:r w:rsidRPr="00F96048">
        <w:rPr>
          <w:rFonts w:eastAsia="Aptos" w:cs="Aptos"/>
          <w:sz w:val="22"/>
          <w:szCs w:val="22"/>
        </w:rPr>
        <w:t>predstavlja eno ključnih izhodišč upravljanja talentov, ki mu</w:t>
      </w:r>
      <w:r w:rsidR="7B0EB326" w:rsidRPr="00F96048">
        <w:rPr>
          <w:rFonts w:eastAsia="Aptos" w:cs="Aptos"/>
          <w:sz w:val="22"/>
          <w:szCs w:val="22"/>
        </w:rPr>
        <w:t xml:space="preserve"> nadalje</w:t>
      </w:r>
      <w:r w:rsidRPr="00F96048">
        <w:rPr>
          <w:rFonts w:eastAsia="Aptos" w:cs="Aptos"/>
          <w:sz w:val="22"/>
          <w:szCs w:val="22"/>
        </w:rPr>
        <w:t xml:space="preserve"> sledijo načrtovan razvoj posameznikov, oblikovanje baz talentov ter priprava zaposlenih na prihodnje</w:t>
      </w:r>
      <w:r w:rsidR="738F02DA" w:rsidRPr="00F96048">
        <w:rPr>
          <w:rFonts w:eastAsia="Aptos" w:cs="Aptos"/>
          <w:sz w:val="22"/>
          <w:szCs w:val="22"/>
        </w:rPr>
        <w:t xml:space="preserve"> potrebe organizacije</w:t>
      </w:r>
      <w:r w:rsidRPr="00F96048">
        <w:rPr>
          <w:rFonts w:eastAsia="Aptos" w:cs="Aptos"/>
          <w:sz w:val="22"/>
          <w:szCs w:val="22"/>
        </w:rPr>
        <w:t xml:space="preserve"> (Church, 2018; Muda in Ismail, 2022).</w:t>
      </w:r>
    </w:p>
    <w:p w14:paraId="70C287A9" w14:textId="613C82AD" w:rsidR="000002FF" w:rsidRPr="00F96048" w:rsidRDefault="000002FF" w:rsidP="008041B9">
      <w:pPr>
        <w:spacing w:before="240" w:after="240"/>
        <w:jc w:val="both"/>
        <w:rPr>
          <w:rFonts w:eastAsia="Aptos" w:cs="Aptos"/>
          <w:sz w:val="22"/>
          <w:szCs w:val="22"/>
        </w:rPr>
      </w:pPr>
      <w:r w:rsidRPr="000002FF">
        <w:rPr>
          <w:rFonts w:eastAsia="Aptos" w:cs="Aptos"/>
          <w:sz w:val="22"/>
          <w:szCs w:val="22"/>
        </w:rPr>
        <w:t>Namen članka je predsta</w:t>
      </w:r>
      <w:r w:rsidR="00EE39D2">
        <w:rPr>
          <w:rFonts w:eastAsia="Aptos" w:cs="Aptos"/>
          <w:sz w:val="22"/>
          <w:szCs w:val="22"/>
        </w:rPr>
        <w:t xml:space="preserve">vitev </w:t>
      </w:r>
      <w:r w:rsidRPr="000002FF">
        <w:rPr>
          <w:rFonts w:eastAsia="Aptos" w:cs="Aptos"/>
          <w:sz w:val="22"/>
          <w:szCs w:val="22"/>
        </w:rPr>
        <w:t>klju</w:t>
      </w:r>
      <w:r w:rsidR="00EE39D2">
        <w:rPr>
          <w:rFonts w:eastAsia="Aptos" w:cs="Aptos"/>
          <w:sz w:val="22"/>
          <w:szCs w:val="22"/>
        </w:rPr>
        <w:t xml:space="preserve">čnih </w:t>
      </w:r>
      <w:r w:rsidRPr="000002FF">
        <w:rPr>
          <w:rFonts w:eastAsia="Aptos" w:cs="Aptos"/>
          <w:sz w:val="22"/>
          <w:szCs w:val="22"/>
        </w:rPr>
        <w:t>proce</w:t>
      </w:r>
      <w:r w:rsidR="00EE39D2">
        <w:rPr>
          <w:rFonts w:eastAsia="Aptos" w:cs="Aptos"/>
          <w:sz w:val="22"/>
          <w:szCs w:val="22"/>
        </w:rPr>
        <w:t xml:space="preserve">sov </w:t>
      </w:r>
      <w:r w:rsidRPr="000002FF">
        <w:rPr>
          <w:rFonts w:eastAsia="Aptos" w:cs="Aptos"/>
          <w:sz w:val="22"/>
          <w:szCs w:val="22"/>
        </w:rPr>
        <w:t xml:space="preserve"> upravljanja talentov v organizacijah, od prepoznavanja in ocenjevanja potenciala do razvoja talentov, notranje mobilnosti in nasledstvenega načrtovanja. Pri tem bom posebno pozornost namenila psihološkim vidikom prepoznavanja potenciala, zlasti zanesljivosti in veljavnosti ocenjevalnih metod ter triangulaciji različnih virov informacij, pa tudi razvojnim pristopom za pripravo zaposlenih na prihodnje strokovne in vodstvene vloge.</w:t>
      </w:r>
    </w:p>
    <w:p w14:paraId="00AC530B" w14:textId="279EB080" w:rsidR="00B116FD" w:rsidRPr="003D48D6" w:rsidRDefault="4F65E7DA" w:rsidP="008041B9">
      <w:pPr>
        <w:pStyle w:val="Naslov2"/>
        <w:jc w:val="both"/>
      </w:pPr>
      <w:r w:rsidRPr="003D48D6">
        <w:t>Prepoznavanje talentov in ocenjevanje potenciala</w:t>
      </w:r>
    </w:p>
    <w:p w14:paraId="7B1B9BDA" w14:textId="6885E233" w:rsidR="00B116FD" w:rsidRPr="007A5353" w:rsidRDefault="00063CB7" w:rsidP="008041B9">
      <w:pPr>
        <w:spacing w:before="240" w:after="240"/>
        <w:jc w:val="both"/>
        <w:rPr>
          <w:rFonts w:eastAsia="Aptos" w:cs="Aptos"/>
          <w:sz w:val="22"/>
          <w:szCs w:val="22"/>
        </w:rPr>
      </w:pPr>
      <w:r>
        <w:rPr>
          <w:rFonts w:eastAsia="Aptos" w:cs="Aptos"/>
          <w:sz w:val="22"/>
          <w:szCs w:val="22"/>
        </w:rPr>
        <w:t xml:space="preserve">Eden izmed izzivov </w:t>
      </w:r>
      <w:r w:rsidR="00C25E81" w:rsidRPr="00F96048">
        <w:rPr>
          <w:rFonts w:eastAsia="Aptos" w:cs="Aptos"/>
          <w:sz w:val="22"/>
          <w:szCs w:val="22"/>
        </w:rPr>
        <w:t>na področju upravljanja talentov je odločitev, katere zaposlene organizacija sploh prepoznava kot talent. Lewis in Heckman (2006) opozarjata, da upravljanje talentov nima enotne in splošno sprejete opredelitve. Razlike se pojavljajo tudi pri samem razumevanju talenta, saj ga nekateri pristopi obravnavajo kot potencial, ki ga imajo vsi zaposleni, drugi pa kot značilnost oz. status omejene skupine posameznikov (Gallardo-Gallardo idr., 2013).</w:t>
      </w:r>
      <w:r w:rsidR="007A5353">
        <w:rPr>
          <w:rFonts w:eastAsia="Aptos" w:cs="Aptos"/>
          <w:sz w:val="22"/>
          <w:szCs w:val="22"/>
        </w:rPr>
        <w:t xml:space="preserve"> To se v praksi </w:t>
      </w:r>
      <w:r w:rsidR="4F65E7DA" w:rsidRPr="00F96048">
        <w:rPr>
          <w:rFonts w:eastAsia="Aptos" w:cs="Aptos"/>
          <w:sz w:val="22"/>
          <w:szCs w:val="22"/>
        </w:rPr>
        <w:t>odraža v inkluzivnem pristopu, ki se osredotoča na razvoj potenciala vseh zaposlenih</w:t>
      </w:r>
      <w:r w:rsidR="00117EFE">
        <w:rPr>
          <w:rFonts w:eastAsia="Aptos" w:cs="Aptos"/>
          <w:sz w:val="22"/>
          <w:szCs w:val="22"/>
        </w:rPr>
        <w:t xml:space="preserve"> </w:t>
      </w:r>
      <w:r w:rsidR="4F65E7DA" w:rsidRPr="00F96048">
        <w:rPr>
          <w:rFonts w:eastAsia="Aptos" w:cs="Aptos"/>
          <w:sz w:val="22"/>
          <w:szCs w:val="22"/>
        </w:rPr>
        <w:t>in ekskluzivnem pristopu, ki je omejen na posebej prepoznane posameznike oz</w:t>
      </w:r>
      <w:r w:rsidR="00D1610E" w:rsidRPr="00F96048">
        <w:rPr>
          <w:rFonts w:eastAsia="Aptos" w:cs="Aptos"/>
          <w:sz w:val="22"/>
          <w:szCs w:val="22"/>
        </w:rPr>
        <w:t xml:space="preserve">. </w:t>
      </w:r>
      <w:r w:rsidR="4F65E7DA" w:rsidRPr="00F96048">
        <w:rPr>
          <w:rFonts w:eastAsia="Aptos" w:cs="Aptos"/>
          <w:sz w:val="22"/>
          <w:szCs w:val="22"/>
        </w:rPr>
        <w:t>skupine talentov (Boštjančič in Slana, 2018). Z ekskluzivnim pristopom je skladen tudi model Collingsa in Mellahija (2009)</w:t>
      </w:r>
      <w:r w:rsidR="00046B5E" w:rsidRPr="00F96048">
        <w:rPr>
          <w:rFonts w:eastAsia="Aptos" w:cs="Aptos"/>
          <w:sz w:val="22"/>
          <w:szCs w:val="22"/>
        </w:rPr>
        <w:t xml:space="preserve">, </w:t>
      </w:r>
      <w:r w:rsidR="00083238">
        <w:rPr>
          <w:rFonts w:eastAsia="Aptos" w:cs="Aptos"/>
          <w:sz w:val="22"/>
          <w:szCs w:val="22"/>
        </w:rPr>
        <w:t>pri katerem</w:t>
      </w:r>
      <w:r w:rsidR="00046B5E" w:rsidRPr="00F96048">
        <w:rPr>
          <w:rFonts w:eastAsia="Aptos" w:cs="Aptos"/>
          <w:sz w:val="22"/>
          <w:szCs w:val="22"/>
        </w:rPr>
        <w:t xml:space="preserve"> </w:t>
      </w:r>
      <w:r w:rsidR="4F65E7DA" w:rsidRPr="00F96048">
        <w:rPr>
          <w:rFonts w:eastAsia="Aptos" w:cs="Aptos"/>
          <w:sz w:val="22"/>
          <w:szCs w:val="22"/>
        </w:rPr>
        <w:t xml:space="preserve">avtorja v ospredje postavljata identifikacijo ključnih delovnih mest ter oblikovanje bazena visoko potencialnih in uspešnih zaposlenih za </w:t>
      </w:r>
      <w:r w:rsidR="00141A25">
        <w:rPr>
          <w:rFonts w:eastAsia="Aptos" w:cs="Aptos"/>
          <w:sz w:val="22"/>
          <w:szCs w:val="22"/>
        </w:rPr>
        <w:t xml:space="preserve">zasedbo teh mest v prihodnosti. </w:t>
      </w:r>
    </w:p>
    <w:p w14:paraId="44EDE158" w14:textId="4A1E5C1F" w:rsidR="00B116FD" w:rsidRPr="00F96048" w:rsidRDefault="4F65E7DA" w:rsidP="008041B9">
      <w:pPr>
        <w:spacing w:before="240" w:after="240"/>
        <w:jc w:val="both"/>
        <w:rPr>
          <w:sz w:val="22"/>
          <w:szCs w:val="22"/>
        </w:rPr>
      </w:pPr>
      <w:r w:rsidRPr="00F96048">
        <w:rPr>
          <w:rFonts w:eastAsia="Aptos" w:cs="Aptos"/>
          <w:sz w:val="22"/>
          <w:szCs w:val="22"/>
        </w:rPr>
        <w:t xml:space="preserve">Različna razumevanja talentov so prisotna tudi v slovenskih organizacijah. Boštjančič in Slana (2018) sta v raziskavi med 21 HR-strokovnjaki iz srednje velikih in velikih slovenskih podjetij ugotovili, da je 62 % organizacij uporabljalo bolj ekskluziven pristop, medtem ko jih je 38 % izhajalo iz inkluzivnega pojmovanja talentov. Udeleženci raziskave so talent najpogosteje </w:t>
      </w:r>
      <w:r w:rsidRPr="00F96048">
        <w:rPr>
          <w:rFonts w:eastAsia="Aptos" w:cs="Aptos"/>
          <w:sz w:val="22"/>
          <w:szCs w:val="22"/>
        </w:rPr>
        <w:lastRenderedPageBreak/>
        <w:t>povezovali s skladnostjo</w:t>
      </w:r>
      <w:r w:rsidR="00C401B1" w:rsidRPr="00F96048">
        <w:rPr>
          <w:rFonts w:eastAsia="Aptos" w:cs="Aptos"/>
          <w:sz w:val="22"/>
          <w:szCs w:val="22"/>
        </w:rPr>
        <w:t xml:space="preserve"> me</w:t>
      </w:r>
      <w:r w:rsidR="00317BF4">
        <w:rPr>
          <w:rFonts w:eastAsia="Aptos" w:cs="Aptos"/>
          <w:sz w:val="22"/>
          <w:szCs w:val="22"/>
        </w:rPr>
        <w:t>d</w:t>
      </w:r>
      <w:r w:rsidR="00C401B1" w:rsidRPr="00F96048">
        <w:rPr>
          <w:rFonts w:eastAsia="Aptos" w:cs="Aptos"/>
          <w:sz w:val="22"/>
          <w:szCs w:val="22"/>
        </w:rPr>
        <w:t xml:space="preserve"> zaposlenim in vrednotami organizacije</w:t>
      </w:r>
      <w:r w:rsidRPr="00F96048">
        <w:rPr>
          <w:rFonts w:eastAsia="Aptos" w:cs="Aptos"/>
          <w:sz w:val="22"/>
          <w:szCs w:val="22"/>
        </w:rPr>
        <w:t>, določenimi osebnostnimi značilnostmi, nadpovprečno delovno uspešnostjo in rezultati, pozitivnim vedenjem pri delu ter intelektualnimi sposobnostmi. Med pogosteje navedenimi osebnostnimi značilnostmi so bile pripravljenost na učenje, hitro pridobivanje novega znanja, motivacija, želja po razvoju, zdrava ambicioznost, samoiniciativnost, proaktivnost in radovednost (Boštjančič in Slana, 2018).</w:t>
      </w:r>
      <w:r w:rsidR="009D2B54">
        <w:rPr>
          <w:sz w:val="22"/>
          <w:szCs w:val="22"/>
        </w:rPr>
        <w:t xml:space="preserve"> </w:t>
      </w:r>
      <w:r w:rsidRPr="00F96048">
        <w:rPr>
          <w:rFonts w:eastAsia="Aptos" w:cs="Aptos"/>
          <w:sz w:val="22"/>
          <w:szCs w:val="22"/>
        </w:rPr>
        <w:t>Delovna uspešnost je tako le ena izmed značilnosti, povezanih s talentom. Razlikovanje med trenutno uspešnostjo posameznika in njegovim potencialom potrjujejo tudi ugotovitve drugih raziskav. Dries in sodelavci (2012) so</w:t>
      </w:r>
      <w:r w:rsidR="0040683A" w:rsidRPr="00F96048">
        <w:rPr>
          <w:rFonts w:eastAsia="Aptos" w:cs="Aptos"/>
          <w:sz w:val="22"/>
          <w:szCs w:val="22"/>
        </w:rPr>
        <w:t xml:space="preserve"> npr.</w:t>
      </w:r>
      <w:r w:rsidRPr="00F96048">
        <w:rPr>
          <w:rFonts w:eastAsia="Aptos" w:cs="Aptos"/>
          <w:sz w:val="22"/>
          <w:szCs w:val="22"/>
        </w:rPr>
        <w:t xml:space="preserve"> ugotovili, da je bila agilnost učenja boljši napovednik prepoznave </w:t>
      </w:r>
      <w:r w:rsidR="00DF410A" w:rsidRPr="00F96048">
        <w:rPr>
          <w:rFonts w:eastAsia="Aptos" w:cs="Aptos"/>
          <w:sz w:val="22"/>
          <w:szCs w:val="22"/>
        </w:rPr>
        <w:t xml:space="preserve">potenciala pri posamezniku </w:t>
      </w:r>
      <w:r w:rsidRPr="00F96048">
        <w:rPr>
          <w:rFonts w:eastAsia="Aptos" w:cs="Aptos"/>
          <w:sz w:val="22"/>
          <w:szCs w:val="22"/>
        </w:rPr>
        <w:t>kot njegova delovna uspešnost</w:t>
      </w:r>
      <w:r w:rsidR="003017D7" w:rsidRPr="00F96048">
        <w:rPr>
          <w:rFonts w:eastAsia="Aptos" w:cs="Aptos"/>
          <w:sz w:val="22"/>
          <w:szCs w:val="22"/>
        </w:rPr>
        <w:t xml:space="preserve">. Večja </w:t>
      </w:r>
      <w:r w:rsidRPr="00F96048">
        <w:rPr>
          <w:rFonts w:eastAsia="Aptos" w:cs="Aptos"/>
          <w:sz w:val="22"/>
          <w:szCs w:val="22"/>
        </w:rPr>
        <w:t xml:space="preserve">raznolikost kariernih izkušenj </w:t>
      </w:r>
      <w:r w:rsidR="003017D7" w:rsidRPr="00F96048">
        <w:rPr>
          <w:rFonts w:eastAsia="Aptos" w:cs="Aptos"/>
          <w:sz w:val="22"/>
          <w:szCs w:val="22"/>
        </w:rPr>
        <w:t xml:space="preserve">pa je bila </w:t>
      </w:r>
      <w:r w:rsidRPr="00F96048">
        <w:rPr>
          <w:rFonts w:eastAsia="Aptos" w:cs="Aptos"/>
          <w:sz w:val="22"/>
          <w:szCs w:val="22"/>
        </w:rPr>
        <w:t>pozitivno povezana z agilnostjo učenja. Church (2018) podobno opozarja, da visoka uspešnost v sedanji vlogi sama po sebi še ne napoveduje uspešnega delovanja v zahtevnejših in kompleksnejših prihodnjih vlogah. Čeprav organizacije delovno uspešnost pogosto vključujejo v presojo potenciala, naj ta predstavlja predvsem izhodišče za nadaljnje ocenjevanje, ne pa neposrednega pokazatelja potenciala za prevzem zahtevnejših vlog.</w:t>
      </w:r>
    </w:p>
    <w:p w14:paraId="2D8E2380" w14:textId="7635EC05" w:rsidR="00B116FD" w:rsidRPr="00F96048" w:rsidRDefault="4F65E7DA" w:rsidP="008041B9">
      <w:pPr>
        <w:spacing w:before="240" w:after="240"/>
        <w:jc w:val="both"/>
        <w:rPr>
          <w:sz w:val="22"/>
          <w:szCs w:val="22"/>
        </w:rPr>
      </w:pPr>
      <w:r w:rsidRPr="00F96048">
        <w:rPr>
          <w:rFonts w:eastAsia="Aptos" w:cs="Aptos"/>
          <w:sz w:val="22"/>
          <w:szCs w:val="22"/>
        </w:rPr>
        <w:t>Eden izmed pogosto uporabljenih pristopov za povezovanje delovne uspešnosti in potenciala je 9-box matrika (</w:t>
      </w:r>
      <w:r w:rsidRPr="00F96048">
        <w:rPr>
          <w:rFonts w:eastAsia="Aptos" w:cs="Aptos"/>
          <w:i/>
          <w:iCs/>
          <w:sz w:val="22"/>
          <w:szCs w:val="22"/>
        </w:rPr>
        <w:t>angl. 9-box grid</w:t>
      </w:r>
      <w:r w:rsidRPr="00F96048">
        <w:rPr>
          <w:rFonts w:eastAsia="Aptos" w:cs="Aptos"/>
          <w:sz w:val="22"/>
          <w:szCs w:val="22"/>
        </w:rPr>
        <w:t>), ki zaposlene razvršča v devet polj glede na tri ravni uspešnosti in tri ravni potenciala (Church, 2018).</w:t>
      </w:r>
      <w:r w:rsidR="002C0D85">
        <w:rPr>
          <w:rFonts w:eastAsia="Aptos" w:cs="Aptos"/>
          <w:sz w:val="22"/>
          <w:szCs w:val="22"/>
        </w:rPr>
        <w:t xml:space="preserve"> Takšna razvrstitev </w:t>
      </w:r>
      <w:r w:rsidR="00AF6BDC" w:rsidRPr="00F96048">
        <w:rPr>
          <w:rFonts w:eastAsia="Aptos" w:cs="Aptos"/>
          <w:sz w:val="22"/>
          <w:szCs w:val="22"/>
        </w:rPr>
        <w:t xml:space="preserve">organizaciji </w:t>
      </w:r>
      <w:r w:rsidRPr="00F96048">
        <w:rPr>
          <w:rFonts w:eastAsia="Aptos" w:cs="Aptos"/>
          <w:sz w:val="22"/>
          <w:szCs w:val="22"/>
        </w:rPr>
        <w:t xml:space="preserve">omogoča strukturiran pregled nad zaposlenimi </w:t>
      </w:r>
      <w:r w:rsidR="007F4FF9">
        <w:rPr>
          <w:rFonts w:eastAsia="Aptos" w:cs="Aptos"/>
          <w:sz w:val="22"/>
          <w:szCs w:val="22"/>
        </w:rPr>
        <w:t xml:space="preserve">in </w:t>
      </w:r>
      <w:r w:rsidRPr="00F96048">
        <w:rPr>
          <w:rFonts w:eastAsia="Aptos" w:cs="Aptos"/>
          <w:sz w:val="22"/>
          <w:szCs w:val="22"/>
        </w:rPr>
        <w:t xml:space="preserve">podpira prepoznavanje posameznikov, primernih za nadaljnji razvoj </w:t>
      </w:r>
      <w:r w:rsidR="007F4FF9">
        <w:rPr>
          <w:rFonts w:eastAsia="Aptos" w:cs="Aptos"/>
          <w:sz w:val="22"/>
          <w:szCs w:val="22"/>
        </w:rPr>
        <w:t xml:space="preserve">ter </w:t>
      </w:r>
      <w:r w:rsidRPr="00F96048">
        <w:rPr>
          <w:rFonts w:eastAsia="Aptos" w:cs="Aptos"/>
          <w:sz w:val="22"/>
          <w:szCs w:val="22"/>
        </w:rPr>
        <w:t>prihodnje oz</w:t>
      </w:r>
      <w:r w:rsidR="00C41D2F" w:rsidRPr="00F96048">
        <w:rPr>
          <w:rFonts w:eastAsia="Aptos" w:cs="Aptos"/>
          <w:sz w:val="22"/>
          <w:szCs w:val="22"/>
        </w:rPr>
        <w:t>.</w:t>
      </w:r>
      <w:r w:rsidRPr="00F96048">
        <w:rPr>
          <w:rFonts w:eastAsia="Aptos" w:cs="Aptos"/>
          <w:sz w:val="22"/>
          <w:szCs w:val="22"/>
        </w:rPr>
        <w:t xml:space="preserve"> nasledstvene vloge (Martin, 2015). Pri uporabi matrike je treba paziti, da se visoka trenutna uspešnost ne enači z visokim potencialom. Če se potencial presoja predvsem na podlagi trenutne uspešnosti, se obe dimenziji matrike vsebinsko preveč približata, s čimer 9-box izgubi </w:t>
      </w:r>
      <w:r w:rsidR="00FB5A4F">
        <w:rPr>
          <w:rFonts w:eastAsia="Aptos" w:cs="Aptos"/>
          <w:sz w:val="22"/>
          <w:szCs w:val="22"/>
        </w:rPr>
        <w:t xml:space="preserve">svoj namen </w:t>
      </w:r>
      <w:r w:rsidRPr="00F96048">
        <w:rPr>
          <w:rFonts w:eastAsia="Aptos" w:cs="Aptos"/>
          <w:sz w:val="22"/>
          <w:szCs w:val="22"/>
        </w:rPr>
        <w:t>(Church, 2018).</w:t>
      </w:r>
    </w:p>
    <w:p w14:paraId="346899C0" w14:textId="12199244" w:rsidR="00B116FD" w:rsidRPr="00F96048" w:rsidRDefault="4F65E7DA" w:rsidP="008041B9">
      <w:pPr>
        <w:spacing w:before="240" w:after="240"/>
        <w:jc w:val="both"/>
        <w:rPr>
          <w:sz w:val="22"/>
          <w:szCs w:val="22"/>
        </w:rPr>
      </w:pPr>
      <w:r w:rsidRPr="00F96048">
        <w:rPr>
          <w:rFonts w:eastAsia="Aptos" w:cs="Aptos"/>
          <w:sz w:val="22"/>
          <w:szCs w:val="22"/>
        </w:rPr>
        <w:t xml:space="preserve">Pri presoji potenciala organizacije uporabljajo različne ocenjevalne </w:t>
      </w:r>
      <w:r w:rsidR="0009272B">
        <w:rPr>
          <w:rFonts w:eastAsia="Aptos" w:cs="Aptos"/>
          <w:sz w:val="22"/>
          <w:szCs w:val="22"/>
        </w:rPr>
        <w:t>tehnike.</w:t>
      </w:r>
      <w:r w:rsidR="0022333E" w:rsidRPr="00F96048">
        <w:rPr>
          <w:rFonts w:eastAsia="Aptos" w:cs="Aptos"/>
          <w:sz w:val="22"/>
          <w:szCs w:val="22"/>
        </w:rPr>
        <w:t xml:space="preserve"> </w:t>
      </w:r>
      <w:r w:rsidR="00F34CE6">
        <w:rPr>
          <w:rFonts w:eastAsia="Aptos" w:cs="Aptos"/>
          <w:sz w:val="22"/>
          <w:szCs w:val="22"/>
        </w:rPr>
        <w:t>Ena izmed</w:t>
      </w:r>
      <w:r w:rsidR="0009272B">
        <w:rPr>
          <w:rFonts w:eastAsia="Aptos" w:cs="Aptos"/>
          <w:sz w:val="22"/>
          <w:szCs w:val="22"/>
        </w:rPr>
        <w:t xml:space="preserve"> njih </w:t>
      </w:r>
      <w:r w:rsidR="00F34CE6">
        <w:rPr>
          <w:rFonts w:eastAsia="Aptos" w:cs="Aptos"/>
          <w:sz w:val="22"/>
          <w:szCs w:val="22"/>
        </w:rPr>
        <w:t>so s</w:t>
      </w:r>
      <w:r w:rsidRPr="00F96048">
        <w:rPr>
          <w:rFonts w:eastAsia="Aptos" w:cs="Aptos"/>
          <w:sz w:val="22"/>
          <w:szCs w:val="22"/>
        </w:rPr>
        <w:t>trukturirani intervjuji</w:t>
      </w:r>
      <w:r w:rsidR="00F34CE6">
        <w:rPr>
          <w:rFonts w:eastAsia="Aptos" w:cs="Aptos"/>
          <w:sz w:val="22"/>
          <w:szCs w:val="22"/>
        </w:rPr>
        <w:t xml:space="preserve">, ki </w:t>
      </w:r>
      <w:r w:rsidRPr="00F96048">
        <w:rPr>
          <w:rFonts w:eastAsia="Aptos" w:cs="Aptos"/>
          <w:sz w:val="22"/>
          <w:szCs w:val="22"/>
        </w:rPr>
        <w:t>temeljijo na vnaprej določenih vprašanjih, usmerjenih v ocenjevanje znanj, spretnosti in sposobnosti, pomembnih za določeno delo oz</w:t>
      </w:r>
      <w:r w:rsidR="0022333E" w:rsidRPr="00F96048">
        <w:rPr>
          <w:rFonts w:eastAsia="Aptos" w:cs="Aptos"/>
          <w:sz w:val="22"/>
          <w:szCs w:val="22"/>
        </w:rPr>
        <w:t>.</w:t>
      </w:r>
      <w:r w:rsidRPr="00F96048">
        <w:rPr>
          <w:rFonts w:eastAsia="Aptos" w:cs="Aptos"/>
          <w:sz w:val="22"/>
          <w:szCs w:val="22"/>
        </w:rPr>
        <w:t xml:space="preserve"> vlogo (Pulakos, 2005). Organizacije </w:t>
      </w:r>
      <w:r w:rsidR="00823668">
        <w:rPr>
          <w:rFonts w:eastAsia="Aptos" w:cs="Aptos"/>
          <w:sz w:val="22"/>
          <w:szCs w:val="22"/>
        </w:rPr>
        <w:t>uporabljajo</w:t>
      </w:r>
      <w:r w:rsidR="0022333E" w:rsidRPr="00F96048">
        <w:rPr>
          <w:rFonts w:eastAsia="Aptos" w:cs="Aptos"/>
          <w:sz w:val="22"/>
          <w:szCs w:val="22"/>
        </w:rPr>
        <w:t xml:space="preserve"> </w:t>
      </w:r>
      <w:r w:rsidRPr="00F96048">
        <w:rPr>
          <w:rFonts w:eastAsia="Aptos" w:cs="Aptos"/>
          <w:sz w:val="22"/>
          <w:szCs w:val="22"/>
        </w:rPr>
        <w:t>tudi poslovn</w:t>
      </w:r>
      <w:r w:rsidR="00D4588F">
        <w:rPr>
          <w:rFonts w:eastAsia="Aptos" w:cs="Aptos"/>
          <w:sz w:val="22"/>
          <w:szCs w:val="22"/>
        </w:rPr>
        <w:t>e</w:t>
      </w:r>
      <w:r w:rsidR="008825A8" w:rsidRPr="00F96048">
        <w:rPr>
          <w:rFonts w:eastAsia="Aptos" w:cs="Aptos"/>
          <w:sz w:val="22"/>
          <w:szCs w:val="22"/>
        </w:rPr>
        <w:t xml:space="preserve"> simulacij</w:t>
      </w:r>
      <w:r w:rsidR="00D4588F">
        <w:rPr>
          <w:rFonts w:eastAsia="Aptos" w:cs="Aptos"/>
          <w:sz w:val="22"/>
          <w:szCs w:val="22"/>
        </w:rPr>
        <w:t>e</w:t>
      </w:r>
      <w:r w:rsidR="008825A8" w:rsidRPr="00F96048">
        <w:rPr>
          <w:rFonts w:eastAsia="Aptos" w:cs="Aptos"/>
          <w:sz w:val="22"/>
          <w:szCs w:val="22"/>
        </w:rPr>
        <w:t>,</w:t>
      </w:r>
      <w:r w:rsidRPr="00F96048">
        <w:rPr>
          <w:rFonts w:eastAsia="Aptos" w:cs="Aptos"/>
          <w:sz w:val="22"/>
          <w:szCs w:val="22"/>
        </w:rPr>
        <w:t xml:space="preserve"> </w:t>
      </w:r>
      <w:r w:rsidR="008825A8" w:rsidRPr="00F96048">
        <w:rPr>
          <w:rFonts w:eastAsia="Aptos" w:cs="Aptos"/>
          <w:sz w:val="22"/>
          <w:szCs w:val="22"/>
        </w:rPr>
        <w:t>tes</w:t>
      </w:r>
      <w:r w:rsidR="00D4588F">
        <w:rPr>
          <w:rFonts w:eastAsia="Aptos" w:cs="Aptos"/>
          <w:sz w:val="22"/>
          <w:szCs w:val="22"/>
        </w:rPr>
        <w:t>te</w:t>
      </w:r>
      <w:r w:rsidR="008825A8" w:rsidRPr="00F96048">
        <w:rPr>
          <w:rFonts w:eastAsia="Aptos" w:cs="Aptos"/>
          <w:sz w:val="22"/>
          <w:szCs w:val="22"/>
        </w:rPr>
        <w:t xml:space="preserve"> situacijske presoje</w:t>
      </w:r>
      <w:r w:rsidRPr="00F96048">
        <w:rPr>
          <w:rFonts w:eastAsia="Aptos" w:cs="Aptos"/>
          <w:sz w:val="22"/>
          <w:szCs w:val="22"/>
        </w:rPr>
        <w:t>, oseb</w:t>
      </w:r>
      <w:r w:rsidR="008825A8" w:rsidRPr="00F96048">
        <w:rPr>
          <w:rFonts w:eastAsia="Aptos" w:cs="Aptos"/>
          <w:sz w:val="22"/>
          <w:szCs w:val="22"/>
        </w:rPr>
        <w:t>no</w:t>
      </w:r>
      <w:r w:rsidR="00D4588F">
        <w:rPr>
          <w:rFonts w:eastAsia="Aptos" w:cs="Aptos"/>
          <w:sz w:val="22"/>
          <w:szCs w:val="22"/>
        </w:rPr>
        <w:t>stne</w:t>
      </w:r>
      <w:r w:rsidR="008825A8" w:rsidRPr="00F96048">
        <w:rPr>
          <w:rFonts w:eastAsia="Aptos" w:cs="Aptos"/>
          <w:sz w:val="22"/>
          <w:szCs w:val="22"/>
        </w:rPr>
        <w:t xml:space="preserve"> test</w:t>
      </w:r>
      <w:r w:rsidR="00C27355">
        <w:rPr>
          <w:rFonts w:eastAsia="Aptos" w:cs="Aptos"/>
          <w:sz w:val="22"/>
          <w:szCs w:val="22"/>
        </w:rPr>
        <w:t>e</w:t>
      </w:r>
      <w:r w:rsidRPr="00F96048">
        <w:rPr>
          <w:rFonts w:eastAsia="Aptos" w:cs="Aptos"/>
          <w:sz w:val="22"/>
          <w:szCs w:val="22"/>
        </w:rPr>
        <w:t xml:space="preserve"> </w:t>
      </w:r>
      <w:r w:rsidR="008825A8" w:rsidRPr="00F96048">
        <w:rPr>
          <w:rFonts w:eastAsia="Aptos" w:cs="Aptos"/>
          <w:sz w:val="22"/>
          <w:szCs w:val="22"/>
        </w:rPr>
        <w:t xml:space="preserve"> in test</w:t>
      </w:r>
      <w:r w:rsidR="00C27355">
        <w:rPr>
          <w:rFonts w:eastAsia="Aptos" w:cs="Aptos"/>
          <w:sz w:val="22"/>
          <w:szCs w:val="22"/>
        </w:rPr>
        <w:t>e</w:t>
      </w:r>
      <w:r w:rsidR="008825A8" w:rsidRPr="00F96048">
        <w:rPr>
          <w:rFonts w:eastAsia="Aptos" w:cs="Aptos"/>
          <w:sz w:val="22"/>
          <w:szCs w:val="22"/>
        </w:rPr>
        <w:t xml:space="preserve"> </w:t>
      </w:r>
      <w:r w:rsidRPr="00F96048">
        <w:rPr>
          <w:rFonts w:eastAsia="Aptos" w:cs="Aptos"/>
          <w:sz w:val="22"/>
          <w:szCs w:val="22"/>
        </w:rPr>
        <w:t>kognitivnih sposobnosti, s katerimi je mogoče dodatno ocenjevati posameznikove značilnosti in načine odzivanja v različnih situacijah (Church, 2018; Pulakos, 2005). Med pogosto uporabljenimi pristopi je tudi 360-stopinjsko ocenjevanje, pri katerem se informacije o posameznikovem vedenju zbirajo iz več</w:t>
      </w:r>
      <w:r w:rsidR="00631438">
        <w:rPr>
          <w:rFonts w:eastAsia="Aptos" w:cs="Aptos"/>
          <w:sz w:val="22"/>
          <w:szCs w:val="22"/>
        </w:rPr>
        <w:t xml:space="preserve"> </w:t>
      </w:r>
      <w:r w:rsidRPr="00F96048">
        <w:rPr>
          <w:rFonts w:eastAsia="Aptos" w:cs="Aptos"/>
          <w:sz w:val="22"/>
          <w:szCs w:val="22"/>
        </w:rPr>
        <w:t>virov, n</w:t>
      </w:r>
      <w:r w:rsidR="00546E65" w:rsidRPr="00F96048">
        <w:rPr>
          <w:rFonts w:eastAsia="Aptos" w:cs="Aptos"/>
          <w:sz w:val="22"/>
          <w:szCs w:val="22"/>
        </w:rPr>
        <w:t>pr.</w:t>
      </w:r>
      <w:r w:rsidRPr="00F96048">
        <w:rPr>
          <w:rFonts w:eastAsia="Aptos" w:cs="Aptos"/>
          <w:sz w:val="22"/>
          <w:szCs w:val="22"/>
        </w:rPr>
        <w:t xml:space="preserve"> od nadrejenih, sodelavcev in podrejenih.</w:t>
      </w:r>
      <w:r w:rsidR="00374E44" w:rsidRPr="00F96048">
        <w:rPr>
          <w:rFonts w:eastAsia="Aptos" w:cs="Aptos"/>
          <w:sz w:val="22"/>
          <w:szCs w:val="22"/>
        </w:rPr>
        <w:t xml:space="preserve"> </w:t>
      </w:r>
      <w:r w:rsidR="00B71187">
        <w:rPr>
          <w:rFonts w:eastAsia="Aptos" w:cs="Aptos"/>
          <w:sz w:val="22"/>
          <w:szCs w:val="22"/>
        </w:rPr>
        <w:t xml:space="preserve">Na ta način </w:t>
      </w:r>
      <w:r w:rsidR="00EB35F9">
        <w:rPr>
          <w:rFonts w:eastAsia="Aptos" w:cs="Aptos"/>
          <w:sz w:val="22"/>
          <w:szCs w:val="22"/>
        </w:rPr>
        <w:t xml:space="preserve">pridobimo </w:t>
      </w:r>
      <w:r w:rsidR="00E47181">
        <w:rPr>
          <w:rFonts w:eastAsia="Aptos" w:cs="Aptos"/>
          <w:sz w:val="22"/>
          <w:szCs w:val="22"/>
        </w:rPr>
        <w:t xml:space="preserve">boljši vpogled </w:t>
      </w:r>
      <w:r w:rsidRPr="00F96048">
        <w:rPr>
          <w:rFonts w:eastAsia="Aptos" w:cs="Aptos"/>
          <w:sz w:val="22"/>
          <w:szCs w:val="22"/>
        </w:rPr>
        <w:t xml:space="preserve">v posameznikovo delovanje, saj vključuje perspektive različnih oseb, ki z njim sodelujejo (Smither idr., 2005). 360-stopinjsko ocenjevanje je sicer lahko pristransko, </w:t>
      </w:r>
      <w:r w:rsidR="00374E44" w:rsidRPr="00F96048">
        <w:rPr>
          <w:rFonts w:eastAsia="Aptos" w:cs="Aptos"/>
          <w:sz w:val="22"/>
          <w:szCs w:val="22"/>
        </w:rPr>
        <w:t>če</w:t>
      </w:r>
      <w:r w:rsidRPr="00F96048">
        <w:rPr>
          <w:rFonts w:eastAsia="Aptos" w:cs="Aptos"/>
          <w:sz w:val="22"/>
          <w:szCs w:val="22"/>
        </w:rPr>
        <w:t xml:space="preserve"> posamezniki sami izbirajo osebe, ki jih ocenjujejo (Church, 2018).</w:t>
      </w:r>
      <w:r w:rsidR="00E6255F">
        <w:rPr>
          <w:rFonts w:eastAsia="Aptos" w:cs="Aptos"/>
          <w:sz w:val="22"/>
          <w:szCs w:val="22"/>
        </w:rPr>
        <w:t xml:space="preserve"> </w:t>
      </w:r>
      <w:r w:rsidR="00E6255F" w:rsidRPr="00E6255F">
        <w:rPr>
          <w:rFonts w:eastAsia="Aptos" w:cs="Aptos"/>
          <w:sz w:val="22"/>
          <w:szCs w:val="22"/>
        </w:rPr>
        <w:t xml:space="preserve">Ker posamezne </w:t>
      </w:r>
      <w:r w:rsidR="009D325C">
        <w:rPr>
          <w:rFonts w:eastAsia="Aptos" w:cs="Aptos"/>
          <w:sz w:val="22"/>
          <w:szCs w:val="22"/>
        </w:rPr>
        <w:t xml:space="preserve">tehnike </w:t>
      </w:r>
      <w:r w:rsidR="00E6255F" w:rsidRPr="00E6255F">
        <w:rPr>
          <w:rFonts w:eastAsia="Aptos" w:cs="Aptos"/>
          <w:sz w:val="22"/>
          <w:szCs w:val="22"/>
        </w:rPr>
        <w:t xml:space="preserve">zajemajo različne vidike potenciala, je smiselno presojo oblikovati na podlagi več virov informacij in različnih ocenjevalnih pristopov. S tem se zmanjša odvisnost od ene same </w:t>
      </w:r>
      <w:r w:rsidR="009D325C">
        <w:rPr>
          <w:rFonts w:eastAsia="Aptos" w:cs="Aptos"/>
          <w:sz w:val="22"/>
          <w:szCs w:val="22"/>
        </w:rPr>
        <w:t>tehnike</w:t>
      </w:r>
      <w:r w:rsidR="00E6255F" w:rsidRPr="00E6255F">
        <w:rPr>
          <w:rFonts w:eastAsia="Aptos" w:cs="Aptos"/>
          <w:sz w:val="22"/>
          <w:szCs w:val="22"/>
        </w:rPr>
        <w:t xml:space="preserve"> ali ocenjevalca ter pridobi celovitejši vpogled v posameznikovo delovanje.</w:t>
      </w:r>
      <w:r w:rsidR="00E20669">
        <w:rPr>
          <w:sz w:val="22"/>
          <w:szCs w:val="22"/>
        </w:rPr>
        <w:t xml:space="preserve"> </w:t>
      </w:r>
      <w:r w:rsidR="00EB54D7" w:rsidRPr="00EB54D7">
        <w:rPr>
          <w:rFonts w:eastAsia="Aptos" w:cs="Aptos"/>
          <w:sz w:val="22"/>
          <w:szCs w:val="22"/>
        </w:rPr>
        <w:t>Ob kombiniranju različnih virov informacij pa ostaja ključna tudi kakovost uporabljenih meril. Lewis in Heckman (2006) opozarjata, da se merske lastnosti teh meril pri upravljanju talentov pogosto premalo preverjajo, zato izpostavljata pomen njihove zanesljivosti in veljavnosti.</w:t>
      </w:r>
      <w:r w:rsidR="008E2037">
        <w:rPr>
          <w:rFonts w:eastAsia="Aptos" w:cs="Aptos"/>
          <w:sz w:val="22"/>
          <w:szCs w:val="22"/>
        </w:rPr>
        <w:t xml:space="preserve"> </w:t>
      </w:r>
      <w:r w:rsidRPr="00F96048">
        <w:rPr>
          <w:rFonts w:eastAsia="Aptos" w:cs="Aptos"/>
          <w:sz w:val="22"/>
          <w:szCs w:val="22"/>
        </w:rPr>
        <w:t>Prepoznavanje talentov</w:t>
      </w:r>
      <w:r w:rsidR="00C15CFB" w:rsidRPr="00F96048">
        <w:rPr>
          <w:rFonts w:eastAsia="Aptos" w:cs="Aptos"/>
          <w:sz w:val="22"/>
          <w:szCs w:val="22"/>
        </w:rPr>
        <w:t xml:space="preserve"> zato </w:t>
      </w:r>
      <w:r w:rsidRPr="00F96048">
        <w:rPr>
          <w:rFonts w:eastAsia="Aptos" w:cs="Aptos"/>
          <w:sz w:val="22"/>
          <w:szCs w:val="22"/>
        </w:rPr>
        <w:t xml:space="preserve">zahteva jasno opredelitev potenciala, njegovo presojo glede na prihodnje potrebe organizacije </w:t>
      </w:r>
      <w:r w:rsidR="00A3174E">
        <w:rPr>
          <w:rFonts w:eastAsia="Aptos" w:cs="Aptos"/>
          <w:sz w:val="22"/>
          <w:szCs w:val="22"/>
        </w:rPr>
        <w:t>in</w:t>
      </w:r>
      <w:r w:rsidRPr="00F96048">
        <w:rPr>
          <w:rFonts w:eastAsia="Aptos" w:cs="Aptos"/>
          <w:sz w:val="22"/>
          <w:szCs w:val="22"/>
        </w:rPr>
        <w:t xml:space="preserve"> uporabo ustreznih ocenjevalnih </w:t>
      </w:r>
      <w:r w:rsidR="00A3174E">
        <w:rPr>
          <w:rFonts w:eastAsia="Aptos" w:cs="Aptos"/>
          <w:sz w:val="22"/>
          <w:szCs w:val="22"/>
        </w:rPr>
        <w:t xml:space="preserve">tehnik. Le takšna presoja namreč </w:t>
      </w:r>
      <w:r w:rsidRPr="00F96048">
        <w:rPr>
          <w:rFonts w:eastAsia="Aptos" w:cs="Aptos"/>
          <w:sz w:val="22"/>
          <w:szCs w:val="22"/>
        </w:rPr>
        <w:t xml:space="preserve">predstavlja </w:t>
      </w:r>
      <w:r w:rsidR="004656BC">
        <w:rPr>
          <w:rFonts w:eastAsia="Aptos" w:cs="Aptos"/>
          <w:sz w:val="22"/>
          <w:szCs w:val="22"/>
        </w:rPr>
        <w:lastRenderedPageBreak/>
        <w:t xml:space="preserve">ustrezno </w:t>
      </w:r>
      <w:r w:rsidRPr="00F96048">
        <w:rPr>
          <w:rFonts w:eastAsia="Aptos" w:cs="Aptos"/>
          <w:sz w:val="22"/>
          <w:szCs w:val="22"/>
        </w:rPr>
        <w:t xml:space="preserve">izhodišče za prepoznavanje zaposlenih z visokim potencialom </w:t>
      </w:r>
      <w:r w:rsidR="004656BC">
        <w:rPr>
          <w:rFonts w:eastAsia="Aptos" w:cs="Aptos"/>
          <w:sz w:val="22"/>
          <w:szCs w:val="22"/>
        </w:rPr>
        <w:t xml:space="preserve">in </w:t>
      </w:r>
      <w:r w:rsidRPr="00F96048">
        <w:rPr>
          <w:rFonts w:eastAsia="Aptos" w:cs="Aptos"/>
          <w:sz w:val="22"/>
          <w:szCs w:val="22"/>
        </w:rPr>
        <w:t>njihovo pripravo na prihodnje ključne vloge v organizaciji (Collings in Mellahi, 2009).</w:t>
      </w:r>
    </w:p>
    <w:p w14:paraId="0269896C" w14:textId="4B36FBF4" w:rsidR="00B116FD" w:rsidRPr="003D48D6" w:rsidRDefault="5EBA1532" w:rsidP="008041B9">
      <w:pPr>
        <w:pStyle w:val="Naslov2"/>
        <w:jc w:val="both"/>
      </w:pPr>
      <w:r w:rsidRPr="003D48D6">
        <w:t>R</w:t>
      </w:r>
      <w:r w:rsidR="00FD49EE" w:rsidRPr="003D48D6">
        <w:t>azvoj</w:t>
      </w:r>
      <w:r w:rsidR="6C5ED18D" w:rsidRPr="003D48D6">
        <w:t xml:space="preserve"> talentov</w:t>
      </w:r>
    </w:p>
    <w:p w14:paraId="2AAB3EAD" w14:textId="0F443791" w:rsidR="00E4745B" w:rsidRPr="00F96048" w:rsidRDefault="00E4745B" w:rsidP="008041B9">
      <w:pPr>
        <w:pStyle w:val="Naslov2"/>
        <w:jc w:val="both"/>
        <w:rPr>
          <w:rFonts w:asciiTheme="minorHAnsi" w:eastAsia="Aptos" w:hAnsiTheme="minorHAnsi" w:cs="Aptos"/>
          <w:color w:val="auto"/>
          <w:sz w:val="22"/>
          <w:szCs w:val="22"/>
        </w:rPr>
      </w:pPr>
      <w:r w:rsidRPr="00F96048">
        <w:rPr>
          <w:rFonts w:asciiTheme="minorHAnsi" w:eastAsia="Aptos" w:hAnsiTheme="minorHAnsi" w:cs="Aptos"/>
          <w:color w:val="auto"/>
          <w:sz w:val="22"/>
          <w:szCs w:val="22"/>
        </w:rPr>
        <w:t>Prepoznavanju talentov mora slediti njihov sistematičen razvoj, saj ta skupaj s pridobivanjem in zadržanjem predstavlja enega osrednjih elementov upravljanja talentov (Momand, 2023). Razvoj je usmerjen v krepitev kompetenc in sposobnosti zaposlenih ter njihovo pripravo na prihodnje oz. nasledstvene vloge (Bano idr., 2022). S tem organizacija postopno oblikuje bazen ustrezno pripravljenih naslednikov ter zmanjšuje tveganje, da bi ob odhodu ključnih zaposlenih ostala brez ustreznega kadra za nadaljnje delovanje (Azmi idr., 2025).</w:t>
      </w:r>
    </w:p>
    <w:p w14:paraId="5735B65E" w14:textId="5370F9A4" w:rsidR="00B116FD" w:rsidRPr="00F96048" w:rsidRDefault="5EBA1532" w:rsidP="008041B9">
      <w:pPr>
        <w:spacing w:before="240" w:after="240"/>
        <w:jc w:val="both"/>
        <w:rPr>
          <w:sz w:val="22"/>
          <w:szCs w:val="22"/>
        </w:rPr>
      </w:pPr>
      <w:r w:rsidRPr="00F96048">
        <w:rPr>
          <w:rFonts w:eastAsia="Aptos" w:cs="Aptos"/>
          <w:sz w:val="22"/>
          <w:szCs w:val="22"/>
        </w:rPr>
        <w:t>Prepoznavanje razvojnih potreb samo po sebi ni dovolj, temveč mora biti povezano s konkretnimi nadaljnjimi aktivnostmi in spremljanjem razvoja (Greenan, 2016). Pomembno izhodišče pri tem predstavlja individualni razvojni načrt (</w:t>
      </w:r>
      <w:r w:rsidRPr="00F96048">
        <w:rPr>
          <w:rFonts w:eastAsia="Aptos" w:cs="Aptos"/>
          <w:i/>
          <w:iCs/>
          <w:sz w:val="22"/>
          <w:szCs w:val="22"/>
        </w:rPr>
        <w:t>angl. individual development plan – IDP</w:t>
      </w:r>
      <w:r w:rsidRPr="00F96048">
        <w:rPr>
          <w:rFonts w:eastAsia="Aptos" w:cs="Aptos"/>
          <w:sz w:val="22"/>
          <w:szCs w:val="22"/>
        </w:rPr>
        <w:t xml:space="preserve">), </w:t>
      </w:r>
      <w:r w:rsidR="00191B2D" w:rsidRPr="00F96048">
        <w:rPr>
          <w:rFonts w:eastAsia="Aptos" w:cs="Aptos"/>
          <w:sz w:val="22"/>
          <w:szCs w:val="22"/>
        </w:rPr>
        <w:t>v katerem se navede</w:t>
      </w:r>
      <w:r w:rsidR="00495882">
        <w:rPr>
          <w:rFonts w:eastAsia="Aptos" w:cs="Aptos"/>
          <w:sz w:val="22"/>
          <w:szCs w:val="22"/>
        </w:rPr>
        <w:t>jo</w:t>
      </w:r>
      <w:r w:rsidR="00191B2D" w:rsidRPr="00F96048">
        <w:rPr>
          <w:rFonts w:eastAsia="Aptos" w:cs="Aptos"/>
          <w:sz w:val="22"/>
          <w:szCs w:val="22"/>
        </w:rPr>
        <w:t xml:space="preserve"> posameznikove </w:t>
      </w:r>
      <w:r w:rsidRPr="00F96048">
        <w:rPr>
          <w:rFonts w:eastAsia="Aptos" w:cs="Aptos"/>
          <w:sz w:val="22"/>
          <w:szCs w:val="22"/>
        </w:rPr>
        <w:t>razvojne potrebe, kariern</w:t>
      </w:r>
      <w:r w:rsidR="003E13E5">
        <w:rPr>
          <w:rFonts w:eastAsia="Aptos" w:cs="Aptos"/>
          <w:sz w:val="22"/>
          <w:szCs w:val="22"/>
        </w:rPr>
        <w:t>i</w:t>
      </w:r>
      <w:r w:rsidRPr="00F96048">
        <w:rPr>
          <w:rFonts w:eastAsia="Aptos" w:cs="Aptos"/>
          <w:sz w:val="22"/>
          <w:szCs w:val="22"/>
        </w:rPr>
        <w:t xml:space="preserve"> cilj</w:t>
      </w:r>
      <w:r w:rsidR="003E13E5">
        <w:rPr>
          <w:rFonts w:eastAsia="Aptos" w:cs="Aptos"/>
          <w:sz w:val="22"/>
          <w:szCs w:val="22"/>
        </w:rPr>
        <w:t xml:space="preserve">i </w:t>
      </w:r>
      <w:r w:rsidR="00EC2796" w:rsidRPr="00EC2796">
        <w:rPr>
          <w:rFonts w:eastAsia="Aptos" w:cs="Aptos"/>
          <w:sz w:val="22"/>
          <w:szCs w:val="22"/>
        </w:rPr>
        <w:t xml:space="preserve">in konkretni koraki za njihovo doseganje </w:t>
      </w:r>
      <w:r w:rsidRPr="00F96048">
        <w:rPr>
          <w:rFonts w:eastAsia="Aptos" w:cs="Aptos"/>
          <w:sz w:val="22"/>
          <w:szCs w:val="22"/>
        </w:rPr>
        <w:t>(Chang idr., 2023). Proces lahko vključuje samooceno in refleksijo, določanje ciljev, načrtovanje razvojnih aktivnosti ter spremljanje napredka ob podpori mentorja oz</w:t>
      </w:r>
      <w:r w:rsidR="00F76A77" w:rsidRPr="00F96048">
        <w:rPr>
          <w:rFonts w:eastAsia="Aptos" w:cs="Aptos"/>
          <w:sz w:val="22"/>
          <w:szCs w:val="22"/>
        </w:rPr>
        <w:t>.</w:t>
      </w:r>
      <w:r w:rsidRPr="00F96048">
        <w:rPr>
          <w:rFonts w:eastAsia="Aptos" w:cs="Aptos"/>
          <w:sz w:val="22"/>
          <w:szCs w:val="22"/>
        </w:rPr>
        <w:t xml:space="preserve"> organizacije (Chang idr., 2023; Greenan, 2016). Učinkovitost razvojnega načrta je povezana tudi z načinom postavljanja ciljev. Teorija postavljanja ciljev predvideva, da specifični in zahtevni cilji učinkoviteje usmerjajo vedenje kot nejasno zastavljeni cilji (Locke, 1968)</w:t>
      </w:r>
      <w:r w:rsidR="00F76A77" w:rsidRPr="00F96048">
        <w:rPr>
          <w:rFonts w:eastAsia="Aptos" w:cs="Aptos"/>
          <w:sz w:val="22"/>
          <w:szCs w:val="22"/>
        </w:rPr>
        <w:t>.</w:t>
      </w:r>
      <w:r w:rsidR="00926213" w:rsidRPr="00F96048">
        <w:rPr>
          <w:rFonts w:eastAsia="Aptos" w:cs="Aptos"/>
          <w:sz w:val="22"/>
          <w:szCs w:val="22"/>
        </w:rPr>
        <w:t xml:space="preserve"> Poleg tega sta</w:t>
      </w:r>
      <w:r w:rsidRPr="00F96048">
        <w:rPr>
          <w:rFonts w:eastAsia="Aptos" w:cs="Aptos"/>
          <w:sz w:val="22"/>
          <w:szCs w:val="22"/>
        </w:rPr>
        <w:t xml:space="preserve"> pomembna</w:t>
      </w:r>
      <w:r w:rsidR="00926213" w:rsidRPr="00F96048">
        <w:rPr>
          <w:rFonts w:eastAsia="Aptos" w:cs="Aptos"/>
          <w:sz w:val="22"/>
          <w:szCs w:val="22"/>
        </w:rPr>
        <w:t xml:space="preserve"> </w:t>
      </w:r>
      <w:r w:rsidRPr="00F96048">
        <w:rPr>
          <w:rFonts w:eastAsia="Aptos" w:cs="Aptos"/>
          <w:sz w:val="22"/>
          <w:szCs w:val="22"/>
        </w:rPr>
        <w:t>tudi namera in zavezanost posameznika k njihovemu doseganju (Yamnill in McLean, 2001).</w:t>
      </w:r>
    </w:p>
    <w:p w14:paraId="07A5F0DB" w14:textId="71C93BF5" w:rsidR="00B116FD" w:rsidRPr="00F96048" w:rsidRDefault="14A7CC53" w:rsidP="008041B9">
      <w:pPr>
        <w:spacing w:before="240" w:after="240"/>
        <w:jc w:val="both"/>
        <w:rPr>
          <w:sz w:val="22"/>
          <w:szCs w:val="22"/>
        </w:rPr>
      </w:pPr>
      <w:r w:rsidRPr="00F96048">
        <w:rPr>
          <w:rFonts w:eastAsia="Aptos" w:cs="Aptos"/>
          <w:sz w:val="22"/>
          <w:szCs w:val="22"/>
        </w:rPr>
        <w:t xml:space="preserve">Zaposleni nova znanja in spretnosti, pomembne za delo, pridobivajo tudi z udeležbo na formalnih izobraževanjih in usposabljanjih (Blume idr., 2010). Njihova učinkovitost je med drugim odvisna od tega, v kolikšni meri zaposleni pridobljeno znanje prenesejo v svoje delovno okolje. Blume in sodelavci (2010) so v meta-analizi 89 empiričnih raziskav ugotovili, da je uspešen prenos naučenega povezan tako z značilnostmi posameznika, predvsem njegovo motivacijo, vestnostjo in kognitivnimi sposobnostmi, kot tudi s podporo, ki jo prejema v delovnem okolju. Pomembno vlogo pri dolgoročnem ohranjanju in uporabi pridobljenega znanja imajo tudi podpora sodelavcev, nadrejenih in organizacije (Hughes idr., 2020). </w:t>
      </w:r>
    </w:p>
    <w:p w14:paraId="6EB3BDB2" w14:textId="4C2DC2EF" w:rsidR="00B116FD" w:rsidRPr="00F96048" w:rsidRDefault="1104A2DE" w:rsidP="008041B9">
      <w:pPr>
        <w:spacing w:before="240" w:after="240"/>
        <w:jc w:val="both"/>
        <w:rPr>
          <w:sz w:val="22"/>
          <w:szCs w:val="22"/>
        </w:rPr>
      </w:pPr>
      <w:r w:rsidRPr="00F96048">
        <w:rPr>
          <w:rFonts w:eastAsia="Aptos" w:cs="Aptos"/>
          <w:sz w:val="22"/>
          <w:szCs w:val="22"/>
        </w:rPr>
        <w:t xml:space="preserve">Tudi neposredne delovne izkušnje </w:t>
      </w:r>
      <w:r w:rsidR="5EBA1532" w:rsidRPr="00F96048">
        <w:rPr>
          <w:rFonts w:eastAsia="Aptos" w:cs="Aptos"/>
          <w:sz w:val="22"/>
          <w:szCs w:val="22"/>
        </w:rPr>
        <w:t>predstavljajo pomemben vir učenja in razvoja, zlasti pri pripravi posameznikov na zahtevnejše vodstvene vloge (Hezlett, 2016). Ena izmed takšnih možnosti je rotacija delovnih mest (</w:t>
      </w:r>
      <w:r w:rsidR="5EBA1532" w:rsidRPr="00F96048">
        <w:rPr>
          <w:rFonts w:eastAsia="Aptos" w:cs="Aptos"/>
          <w:i/>
          <w:iCs/>
          <w:sz w:val="22"/>
          <w:szCs w:val="22"/>
        </w:rPr>
        <w:t>angl. job rotation</w:t>
      </w:r>
      <w:r w:rsidR="5EBA1532" w:rsidRPr="00F96048">
        <w:rPr>
          <w:rFonts w:eastAsia="Aptos" w:cs="Aptos"/>
          <w:sz w:val="22"/>
          <w:szCs w:val="22"/>
        </w:rPr>
        <w:t>), pri kateri zaposleni prehaja med različnimi delovnimi mesti ali področji znotraj organizacije. Meta-analiza Mlekus in Maier (2021) je pokazala, da je rotacija pozitivno povezana z več pomembnimi izidi, med drugim s kariernim uspehom, večjo delovno fleksibilnostjo, individualno uspešnostjo in produktivnostjo. Posameznik se lahko razvija tudi z opravljanjem zahtevnejših oz</w:t>
      </w:r>
      <w:r w:rsidR="2CF25A58" w:rsidRPr="00F96048">
        <w:rPr>
          <w:rFonts w:eastAsia="Aptos" w:cs="Aptos"/>
          <w:sz w:val="22"/>
          <w:szCs w:val="22"/>
        </w:rPr>
        <w:t xml:space="preserve">. </w:t>
      </w:r>
      <w:r w:rsidR="5EBA1532" w:rsidRPr="00F96048">
        <w:rPr>
          <w:rFonts w:eastAsia="Aptos" w:cs="Aptos"/>
          <w:sz w:val="22"/>
          <w:szCs w:val="22"/>
        </w:rPr>
        <w:t>razteznih nalog (</w:t>
      </w:r>
      <w:r w:rsidR="5EBA1532" w:rsidRPr="00F96048">
        <w:rPr>
          <w:rFonts w:eastAsia="Aptos" w:cs="Aptos"/>
          <w:i/>
          <w:iCs/>
          <w:sz w:val="22"/>
          <w:szCs w:val="22"/>
        </w:rPr>
        <w:t>angl. stretch assignments</w:t>
      </w:r>
      <w:r w:rsidR="5EBA1532" w:rsidRPr="00F96048">
        <w:rPr>
          <w:rFonts w:eastAsia="Aptos" w:cs="Aptos"/>
          <w:sz w:val="22"/>
          <w:szCs w:val="22"/>
        </w:rPr>
        <w:t xml:space="preserve">), pri katerih prevzame odgovornosti, ki zanj predstavljajo večji razvojni izziv. McCauley in sodelavci (1995) takšne naloge obravnavajo kot način povezovanja razvoja zaposlenih z njihovim nadaljnjim napredovanjem in pripravo na zahtevnejše vloge. Razvojni pomen takšnih izkušenj potrjujejo tudi izsledki Carette in sodelavcev (2013), ki so ugotovili, da opravljanje zahtevnejših delovnih nalog pri zaposlenih sredi kariere prispeva k višji delovni </w:t>
      </w:r>
      <w:r w:rsidR="5EBA1532" w:rsidRPr="00F96048">
        <w:rPr>
          <w:rFonts w:eastAsia="Aptos" w:cs="Aptos"/>
          <w:sz w:val="22"/>
          <w:szCs w:val="22"/>
        </w:rPr>
        <w:lastRenderedPageBreak/>
        <w:t>uspešnosti, vendar le do določene mere, saj lahko pretirano zahtevne naloge začnejo učinkovati kontraproduktivno.</w:t>
      </w:r>
    </w:p>
    <w:p w14:paraId="753485E3" w14:textId="1708EC4F" w:rsidR="00B116FD" w:rsidRPr="00F96048" w:rsidRDefault="5EBA1532" w:rsidP="008041B9">
      <w:pPr>
        <w:spacing w:before="240" w:after="240"/>
        <w:jc w:val="both"/>
        <w:rPr>
          <w:sz w:val="22"/>
          <w:szCs w:val="22"/>
        </w:rPr>
      </w:pPr>
      <w:r w:rsidRPr="00F96048">
        <w:rPr>
          <w:rFonts w:eastAsia="Aptos" w:cs="Aptos"/>
          <w:sz w:val="22"/>
          <w:szCs w:val="22"/>
        </w:rPr>
        <w:t>Druga oblika razvoja skozi neposredno izkušnjo je senčenje na delovnem mestu (</w:t>
      </w:r>
      <w:r w:rsidRPr="00F96048">
        <w:rPr>
          <w:rFonts w:eastAsia="Aptos" w:cs="Aptos"/>
          <w:i/>
          <w:iCs/>
          <w:sz w:val="22"/>
          <w:szCs w:val="22"/>
        </w:rPr>
        <w:t>angl. job shadowing</w:t>
      </w:r>
      <w:r w:rsidRPr="00F96048">
        <w:rPr>
          <w:rFonts w:eastAsia="Aptos" w:cs="Aptos"/>
          <w:sz w:val="22"/>
          <w:szCs w:val="22"/>
        </w:rPr>
        <w:t>), pri katerem posameznik spremlja izkušenejšega zaposlenega pri njegovem vsakodnevnem delu ter tako neposredno spoznava naloge, odgovornosti in način delovanja v določeni vlogi (Margeviča-Grinberga in Kalēja, 2024). Takšna oblika učenja omogoča stik z realnim delovnim okoljem ter opazovanje praktične uporabe znanja in spretnosti. Margeviča-Grinberga in Kalēja (2025) sta v raziskavi med 64 odraslimi ugotovili, da je sodelovanje v programu senčenja prispevalo k večji samozavesti in karierni jasnosti ter</w:t>
      </w:r>
      <w:r w:rsidR="008D3657" w:rsidRPr="00F96048">
        <w:rPr>
          <w:rFonts w:eastAsia="Aptos" w:cs="Aptos"/>
          <w:sz w:val="22"/>
          <w:szCs w:val="22"/>
        </w:rPr>
        <w:t xml:space="preserve"> k</w:t>
      </w:r>
      <w:r w:rsidRPr="00F96048">
        <w:rPr>
          <w:rFonts w:eastAsia="Aptos" w:cs="Aptos"/>
          <w:sz w:val="22"/>
          <w:szCs w:val="22"/>
        </w:rPr>
        <w:t xml:space="preserve"> razvoju praktičnih spretnosti. Udeleženci so pridobljeno znanje pogosto prenesli tudi v svoje delo, program pa je pri številnih spodbudil nadaljnje izobraževanje in profesionalni razvoj.</w:t>
      </w:r>
    </w:p>
    <w:p w14:paraId="1B40CB5E" w14:textId="0A396CC9" w:rsidR="00B116FD" w:rsidRPr="00F96048" w:rsidRDefault="0AFAB897" w:rsidP="008041B9">
      <w:pPr>
        <w:spacing w:before="240" w:after="240"/>
        <w:jc w:val="both"/>
        <w:rPr>
          <w:sz w:val="22"/>
          <w:szCs w:val="22"/>
        </w:rPr>
      </w:pPr>
      <w:r w:rsidRPr="00F96048">
        <w:rPr>
          <w:rFonts w:eastAsia="Aptos" w:cs="Aptos"/>
          <w:sz w:val="22"/>
          <w:szCs w:val="22"/>
        </w:rPr>
        <w:t xml:space="preserve">Zaposleni se </w:t>
      </w:r>
      <w:r w:rsidR="1DA58C7F" w:rsidRPr="00F96048">
        <w:rPr>
          <w:rFonts w:eastAsia="Aptos" w:cs="Aptos"/>
          <w:sz w:val="22"/>
          <w:szCs w:val="22"/>
        </w:rPr>
        <w:t>razvijajo</w:t>
      </w:r>
      <w:r w:rsidRPr="00F96048">
        <w:rPr>
          <w:rFonts w:eastAsia="Aptos" w:cs="Aptos"/>
          <w:sz w:val="22"/>
          <w:szCs w:val="22"/>
        </w:rPr>
        <w:t xml:space="preserve"> tudi v procesu mentorstva</w:t>
      </w:r>
      <w:r w:rsidR="5EBA1532" w:rsidRPr="00F96048">
        <w:rPr>
          <w:rFonts w:eastAsia="Aptos" w:cs="Aptos"/>
          <w:sz w:val="22"/>
          <w:szCs w:val="22"/>
        </w:rPr>
        <w:t xml:space="preserve">, </w:t>
      </w:r>
      <w:r w:rsidR="26CDA2E4" w:rsidRPr="00F96048">
        <w:rPr>
          <w:rFonts w:eastAsia="Aptos" w:cs="Aptos"/>
          <w:sz w:val="22"/>
          <w:szCs w:val="22"/>
        </w:rPr>
        <w:t xml:space="preserve">kjer stopijo v odnos z bolj izkušenim </w:t>
      </w:r>
      <w:r w:rsidR="1D292CF9" w:rsidRPr="00F96048">
        <w:rPr>
          <w:rFonts w:eastAsia="Aptos" w:cs="Aptos"/>
          <w:sz w:val="22"/>
          <w:szCs w:val="22"/>
        </w:rPr>
        <w:t xml:space="preserve">zaposlenim oz. </w:t>
      </w:r>
      <w:r w:rsidR="0004716E" w:rsidRPr="00F96048">
        <w:rPr>
          <w:rFonts w:eastAsia="Aptos" w:cs="Aptos"/>
          <w:sz w:val="22"/>
          <w:szCs w:val="22"/>
        </w:rPr>
        <w:t>m</w:t>
      </w:r>
      <w:r w:rsidR="1D292CF9" w:rsidRPr="00F96048">
        <w:rPr>
          <w:rFonts w:eastAsia="Aptos" w:cs="Aptos"/>
          <w:sz w:val="22"/>
          <w:szCs w:val="22"/>
        </w:rPr>
        <w:t xml:space="preserve">entorjem. </w:t>
      </w:r>
      <w:r w:rsidR="5EBA1532" w:rsidRPr="00F96048">
        <w:rPr>
          <w:rFonts w:eastAsia="Aptos" w:cs="Aptos"/>
          <w:sz w:val="22"/>
          <w:szCs w:val="22"/>
        </w:rPr>
        <w:t xml:space="preserve">Mentor s svojim znanjem in izkušnjami podpira </w:t>
      </w:r>
      <w:r w:rsidR="7095D6B9" w:rsidRPr="00F96048">
        <w:rPr>
          <w:rFonts w:eastAsia="Aptos" w:cs="Aptos"/>
          <w:sz w:val="22"/>
          <w:szCs w:val="22"/>
        </w:rPr>
        <w:t xml:space="preserve">mentorirančev </w:t>
      </w:r>
      <w:r w:rsidR="5EBA1532" w:rsidRPr="00F96048">
        <w:rPr>
          <w:rFonts w:eastAsia="Aptos" w:cs="Aptos"/>
          <w:sz w:val="22"/>
          <w:szCs w:val="22"/>
        </w:rPr>
        <w:t>karierni razvoj ter mu pomaga pri doseganju poklicnega uspeha (Ivey idr., 2022). Mentorska podpora običajno vključuje dve glavni funkciji</w:t>
      </w:r>
      <w:r w:rsidR="6FDB548E" w:rsidRPr="00F96048">
        <w:rPr>
          <w:rFonts w:eastAsia="Aptos" w:cs="Aptos"/>
          <w:sz w:val="22"/>
          <w:szCs w:val="22"/>
        </w:rPr>
        <w:t>. Prva izmed njih je karierna</w:t>
      </w:r>
      <w:r w:rsidR="5EBA1532" w:rsidRPr="00F96048">
        <w:rPr>
          <w:rFonts w:eastAsia="Aptos" w:cs="Aptos"/>
          <w:sz w:val="22"/>
          <w:szCs w:val="22"/>
        </w:rPr>
        <w:t xml:space="preserve"> podp</w:t>
      </w:r>
      <w:r w:rsidR="1843B5A5" w:rsidRPr="00F96048">
        <w:rPr>
          <w:rFonts w:eastAsia="Aptos" w:cs="Aptos"/>
          <w:sz w:val="22"/>
          <w:szCs w:val="22"/>
        </w:rPr>
        <w:t>ora</w:t>
      </w:r>
      <w:r w:rsidR="5EBA1532" w:rsidRPr="00F96048">
        <w:rPr>
          <w:rFonts w:eastAsia="Aptos" w:cs="Aptos"/>
          <w:sz w:val="22"/>
          <w:szCs w:val="22"/>
        </w:rPr>
        <w:t>,</w:t>
      </w:r>
      <w:r w:rsidR="009967E0" w:rsidRPr="00F96048">
        <w:rPr>
          <w:rFonts w:eastAsia="Aptos" w:cs="Aptos"/>
          <w:sz w:val="22"/>
          <w:szCs w:val="22"/>
        </w:rPr>
        <w:t xml:space="preserve"> </w:t>
      </w:r>
      <w:r w:rsidR="00B72619" w:rsidRPr="00B72619">
        <w:rPr>
          <w:rFonts w:eastAsia="Aptos" w:cs="Aptos"/>
          <w:sz w:val="22"/>
          <w:szCs w:val="22"/>
        </w:rPr>
        <w:t>ki zajema omogočanje razvojnih priložnosti, vključevanje v zahtevnejše naloge ter podporo pri napredovanju.</w:t>
      </w:r>
      <w:r w:rsidR="006D1F32">
        <w:rPr>
          <w:rFonts w:eastAsia="Aptos" w:cs="Aptos"/>
          <w:sz w:val="22"/>
          <w:szCs w:val="22"/>
        </w:rPr>
        <w:t xml:space="preserve"> </w:t>
      </w:r>
      <w:r w:rsidR="517C0A7F" w:rsidRPr="00F96048">
        <w:rPr>
          <w:rFonts w:eastAsia="Aptos" w:cs="Aptos"/>
          <w:sz w:val="22"/>
          <w:szCs w:val="22"/>
        </w:rPr>
        <w:t>Druga funkcija pa je</w:t>
      </w:r>
      <w:r w:rsidR="5EBA1532" w:rsidRPr="00F96048">
        <w:rPr>
          <w:rFonts w:eastAsia="Aptos" w:cs="Aptos"/>
          <w:sz w:val="22"/>
          <w:szCs w:val="22"/>
        </w:rPr>
        <w:t xml:space="preserve"> psiho</w:t>
      </w:r>
      <w:r w:rsidR="3F3A0280" w:rsidRPr="00F96048">
        <w:rPr>
          <w:rFonts w:eastAsia="Aptos" w:cs="Aptos"/>
          <w:sz w:val="22"/>
          <w:szCs w:val="22"/>
        </w:rPr>
        <w:t>soc</w:t>
      </w:r>
      <w:r w:rsidR="0032593B">
        <w:rPr>
          <w:rFonts w:eastAsia="Aptos" w:cs="Aptos"/>
          <w:sz w:val="22"/>
          <w:szCs w:val="22"/>
        </w:rPr>
        <w:t>ialna</w:t>
      </w:r>
      <w:r w:rsidR="3F3A0280" w:rsidRPr="00F96048">
        <w:rPr>
          <w:rFonts w:eastAsia="Aptos" w:cs="Aptos"/>
          <w:sz w:val="22"/>
          <w:szCs w:val="22"/>
        </w:rPr>
        <w:t xml:space="preserve"> podpora mentorirancu, ki krepi njegov občutek kompetentnosti,</w:t>
      </w:r>
      <w:r w:rsidR="5EBA1532" w:rsidRPr="00F96048">
        <w:rPr>
          <w:rFonts w:eastAsia="Aptos" w:cs="Aptos"/>
          <w:sz w:val="22"/>
          <w:szCs w:val="22"/>
        </w:rPr>
        <w:t xml:space="preserve"> identitete in uspešnosti pri delu (Ivey idr., 2022; Ghosh in Reio, 2013).</w:t>
      </w:r>
    </w:p>
    <w:p w14:paraId="26046063" w14:textId="58ECB00B" w:rsidR="5B1814D8" w:rsidRPr="00F96048" w:rsidRDefault="00ED2CBE" w:rsidP="008041B9">
      <w:pPr>
        <w:spacing w:before="240" w:after="240"/>
        <w:jc w:val="both"/>
        <w:rPr>
          <w:sz w:val="22"/>
          <w:szCs w:val="22"/>
        </w:rPr>
      </w:pPr>
      <w:r w:rsidRPr="00ED2CBE">
        <w:rPr>
          <w:rFonts w:eastAsia="Aptos" w:cs="Aptos"/>
          <w:sz w:val="22"/>
          <w:szCs w:val="22"/>
        </w:rPr>
        <w:t>V sodobni praksi vse več organizacij uporablja tudi coaching</w:t>
      </w:r>
      <w:r w:rsidR="17A92F08" w:rsidRPr="00F96048">
        <w:rPr>
          <w:rFonts w:eastAsia="Aptos" w:cs="Aptos"/>
          <w:sz w:val="22"/>
          <w:szCs w:val="22"/>
        </w:rPr>
        <w:t xml:space="preserve">, ki je </w:t>
      </w:r>
      <w:r w:rsidR="5EBA1532" w:rsidRPr="00F96048">
        <w:rPr>
          <w:rFonts w:eastAsia="Aptos" w:cs="Aptos"/>
          <w:sz w:val="22"/>
          <w:szCs w:val="22"/>
        </w:rPr>
        <w:t xml:space="preserve">usmerjen v spodbujanje refleksije, samostojnega usmerjanja lastnega učenja in iskanja rešitev. Posameznik pri tem svoje izkušnje pretvarja v novo znanje ter jih uporablja </w:t>
      </w:r>
      <w:r w:rsidR="56B728F4" w:rsidRPr="00F96048">
        <w:rPr>
          <w:rFonts w:eastAsia="Aptos" w:cs="Aptos"/>
          <w:sz w:val="22"/>
          <w:szCs w:val="22"/>
        </w:rPr>
        <w:t xml:space="preserve">za doseganje razvojnih ciljev </w:t>
      </w:r>
      <w:r w:rsidR="5EBA1532" w:rsidRPr="00F96048">
        <w:rPr>
          <w:rFonts w:eastAsia="Aptos" w:cs="Aptos"/>
          <w:sz w:val="22"/>
          <w:szCs w:val="22"/>
        </w:rPr>
        <w:t xml:space="preserve"> (Roša in Lace, 2021; Grover in Furnham, 2016). Raziskave kažejo, da je coaching povezan s številnimi pozitivnimi izidi pri zaposlenih, med drugim z boljšo delovno uspešnostjo in spretnostmi, večjim blagostanjem, učinkovitejšim spoprijemanjem z obremenitvami, bolj pozitivnim odnosom do dela, boljšo ciljno usmerjeno samoregulacijo ter drugimi organizacijsko relevantnimi izidi (Theeboom idr., 2014; Cannon-Bowers idr., 2023).</w:t>
      </w:r>
    </w:p>
    <w:p w14:paraId="1465E9DB" w14:textId="171F48C7" w:rsidR="2651F75C" w:rsidRPr="00F96048" w:rsidRDefault="2651F75C" w:rsidP="008041B9">
      <w:pPr>
        <w:pStyle w:val="Naslov2"/>
        <w:jc w:val="both"/>
      </w:pPr>
      <w:r w:rsidRPr="00F96048">
        <w:t>Bazen talentov</w:t>
      </w:r>
    </w:p>
    <w:p w14:paraId="58C22D15" w14:textId="77777777" w:rsidR="0040118D" w:rsidRDefault="689DFB57" w:rsidP="008041B9">
      <w:pPr>
        <w:spacing w:before="240" w:after="240"/>
        <w:jc w:val="both"/>
        <w:rPr>
          <w:rFonts w:eastAsia="Aptos" w:cs="Aptos"/>
          <w:sz w:val="22"/>
          <w:szCs w:val="22"/>
        </w:rPr>
      </w:pPr>
      <w:r w:rsidRPr="00F96048">
        <w:rPr>
          <w:rFonts w:eastAsia="Aptos" w:cs="Aptos"/>
          <w:sz w:val="22"/>
          <w:szCs w:val="22"/>
        </w:rPr>
        <w:t>Poleg začetne identifikacije in razvoja talentov je pomembno tudi, kako organizacija z njimi upravlja na ravni celotnega sistema. Eden izmed pristopov je oblikovanje bazena talentov (</w:t>
      </w:r>
      <w:r w:rsidRPr="00F96048">
        <w:rPr>
          <w:rFonts w:eastAsia="Aptos" w:cs="Aptos"/>
          <w:i/>
          <w:iCs/>
          <w:sz w:val="22"/>
          <w:szCs w:val="22"/>
        </w:rPr>
        <w:t>angl. talent pool</w:t>
      </w:r>
      <w:r w:rsidRPr="00F96048">
        <w:rPr>
          <w:rFonts w:eastAsia="Aptos" w:cs="Aptos"/>
          <w:sz w:val="22"/>
          <w:szCs w:val="22"/>
        </w:rPr>
        <w:t>), v katerega se vključujejo zaposleni, ki jih organizacija razvija za prihodnje vloge, vodstvene položaje ali druge strateško pomembne po</w:t>
      </w:r>
      <w:r w:rsidR="0030483D">
        <w:rPr>
          <w:rFonts w:eastAsia="Aptos" w:cs="Aptos"/>
          <w:sz w:val="22"/>
          <w:szCs w:val="22"/>
        </w:rPr>
        <w:t>zicije</w:t>
      </w:r>
      <w:r w:rsidRPr="00F96048">
        <w:rPr>
          <w:rFonts w:eastAsia="Aptos" w:cs="Aptos"/>
          <w:sz w:val="22"/>
          <w:szCs w:val="22"/>
        </w:rPr>
        <w:t xml:space="preserve"> (Muda in Ismail, 2022). Lewis in Heckman (2006) bazene talentov umeščata v širši sistem upravljanja pretoka zaposlenih znotraj organizacije, pri katerem sta v ospredju predvsem napovedovanje prihodnjih kadrovskih potreb </w:t>
      </w:r>
      <w:r w:rsidR="00584C5D">
        <w:rPr>
          <w:rFonts w:eastAsia="Aptos" w:cs="Aptos"/>
          <w:sz w:val="22"/>
          <w:szCs w:val="22"/>
        </w:rPr>
        <w:t xml:space="preserve">in </w:t>
      </w:r>
      <w:r w:rsidRPr="00F96048">
        <w:rPr>
          <w:rFonts w:eastAsia="Aptos" w:cs="Aptos"/>
          <w:sz w:val="22"/>
          <w:szCs w:val="22"/>
        </w:rPr>
        <w:t xml:space="preserve">načrtovanje prehajanja zaposlenih med različnimi delovnimi mesti </w:t>
      </w:r>
      <w:r w:rsidR="00E66571">
        <w:rPr>
          <w:rFonts w:eastAsia="Aptos" w:cs="Aptos"/>
          <w:sz w:val="22"/>
          <w:szCs w:val="22"/>
        </w:rPr>
        <w:t>ter</w:t>
      </w:r>
      <w:r w:rsidRPr="00F96048">
        <w:rPr>
          <w:rFonts w:eastAsia="Aptos" w:cs="Aptos"/>
          <w:sz w:val="22"/>
          <w:szCs w:val="22"/>
        </w:rPr>
        <w:t xml:space="preserve"> organizacijskimi ravnmi. </w:t>
      </w:r>
    </w:p>
    <w:p w14:paraId="3462670E" w14:textId="73ECA6A6" w:rsidR="689DFB57" w:rsidRPr="00F96048" w:rsidRDefault="689DFB57" w:rsidP="008041B9">
      <w:pPr>
        <w:spacing w:before="240" w:after="240"/>
        <w:jc w:val="both"/>
        <w:rPr>
          <w:sz w:val="22"/>
          <w:szCs w:val="22"/>
        </w:rPr>
      </w:pPr>
      <w:r w:rsidRPr="00F96048">
        <w:rPr>
          <w:rFonts w:eastAsia="Aptos" w:cs="Aptos"/>
          <w:sz w:val="22"/>
          <w:szCs w:val="22"/>
        </w:rPr>
        <w:t xml:space="preserve">Mäkelä in sodelavci (2010) so v svoji raziskavi proučevali dejavnike, ki vplivajo na prepoznavanje talentov v multinacionalnih organizacijah. Ugotovili so, da vključitev posameznika v bazen talentov ni odvisna zgolj od ocen njegove delovne uspešnosti. Pomembno vlogo imajo tudi kulturna in institucionalna oddaljenost med zaposlenim in odločevalci, stopnja podobnosti med njimi ter položaj in povezanost posameznika znotraj organizacije. Da bazeni talentov delujejo </w:t>
      </w:r>
      <w:r w:rsidRPr="00F96048">
        <w:rPr>
          <w:rFonts w:eastAsia="Aptos" w:cs="Aptos"/>
          <w:sz w:val="22"/>
          <w:szCs w:val="22"/>
        </w:rPr>
        <w:lastRenderedPageBreak/>
        <w:t>učinkovito, je pomembno njihovo premišljeno oblikovanje, aktivno upravljanje in načrten razvoj vključenih zaposlenih (Yarnall, 2011; Jooss idr., 2021). Tako oblikovani bazeni prispevajo k zagotavljanju nabora ustreznih kandidatov za prihodnje organizacijske potrebe (Jooss idr., 2021).</w:t>
      </w:r>
    </w:p>
    <w:p w14:paraId="3EAB34EF" w14:textId="5118A9CE" w:rsidR="71EDDF27" w:rsidRPr="00F96048" w:rsidRDefault="71EDDF27" w:rsidP="008041B9">
      <w:pPr>
        <w:pStyle w:val="Naslov2"/>
        <w:jc w:val="both"/>
      </w:pPr>
      <w:r w:rsidRPr="00F96048">
        <w:t>N</w:t>
      </w:r>
      <w:r w:rsidR="73BC47AF" w:rsidRPr="00F96048">
        <w:t>otranja mobilnost</w:t>
      </w:r>
    </w:p>
    <w:p w14:paraId="672F47A6" w14:textId="7353E1A3" w:rsidR="004C7500" w:rsidRDefault="71EDDF27" w:rsidP="008041B9">
      <w:pPr>
        <w:spacing w:before="240" w:after="240"/>
        <w:jc w:val="both"/>
        <w:rPr>
          <w:rFonts w:eastAsia="Aptos" w:cs="Aptos"/>
          <w:sz w:val="22"/>
          <w:szCs w:val="22"/>
        </w:rPr>
      </w:pPr>
      <w:r w:rsidRPr="00F96048">
        <w:rPr>
          <w:rFonts w:eastAsia="Aptos" w:cs="Aptos"/>
          <w:sz w:val="22"/>
          <w:szCs w:val="22"/>
        </w:rPr>
        <w:t>Z bazeni talentov je tesno povezana tudi notranja mobilnost, ki vključuje tako vertikalne kot horizontalne pr</w:t>
      </w:r>
      <w:r w:rsidR="00A14331">
        <w:rPr>
          <w:rFonts w:eastAsia="Aptos" w:cs="Aptos"/>
          <w:sz w:val="22"/>
          <w:szCs w:val="22"/>
        </w:rPr>
        <w:t>emike</w:t>
      </w:r>
      <w:r w:rsidRPr="00F96048">
        <w:rPr>
          <w:rFonts w:eastAsia="Aptos" w:cs="Aptos"/>
          <w:sz w:val="22"/>
          <w:szCs w:val="22"/>
        </w:rPr>
        <w:t xml:space="preserve"> med delovnimi mesti (Bidwell in Keller, 2025). </w:t>
      </w:r>
      <w:r w:rsidR="2AE219B4" w:rsidRPr="00F96048">
        <w:rPr>
          <w:rFonts w:eastAsia="Aptos" w:cs="Aptos"/>
          <w:sz w:val="22"/>
          <w:szCs w:val="22"/>
        </w:rPr>
        <w:t xml:space="preserve"> </w:t>
      </w:r>
      <w:r w:rsidR="139271F8" w:rsidRPr="00F96048">
        <w:rPr>
          <w:rFonts w:eastAsia="Aptos" w:cs="Aptos"/>
          <w:sz w:val="22"/>
          <w:szCs w:val="22"/>
        </w:rPr>
        <w:t xml:space="preserve">Pfeifer (2010) je na podlagi kadrovskih podatkov 1891 zaposlenih v velikem nemškem podjetju proučeval dejavnike, povezane z verjetnostjo napredovanja. Z večjo verjetnostjo napredovanja so bili statistično značilno povezani daljši pogodbeni delovni čas, višja starost ob vstopu v organizacijo in daljše preostalo obdobje do upokojitve. Pri zaposlenih na strokovnih in administrativnih delovnih mestih je bila univerzitetna izobrazba povezana s približno 68–78 % višjo verjetnostjo napredovanja v primerjavi z zaposlenimi z nižjo stopnjo izobrazbe. Pomembno je bilo predvsem vedenje zaposlenih tik pred napredovanjem, saj sta bila manj odsotnosti in več nadurnega dela v zadnjih treh mesecih povezana z večjo verjetnostjo napredovanja, </w:t>
      </w:r>
      <w:r w:rsidR="005C4E3C" w:rsidRPr="005C4E3C">
        <w:rPr>
          <w:rFonts w:eastAsia="Aptos" w:cs="Aptos"/>
          <w:sz w:val="22"/>
          <w:szCs w:val="22"/>
        </w:rPr>
        <w:t>medtem ko pri vedenju, zabeleženem dlje časa pred napredovanjem, takšne povezave večinoma niso bile statistično značilne.</w:t>
      </w:r>
    </w:p>
    <w:p w14:paraId="5975A66F" w14:textId="7D1ED57D" w:rsidR="71EDDF27" w:rsidRPr="00F96048" w:rsidRDefault="64F8CFA6" w:rsidP="008041B9">
      <w:pPr>
        <w:spacing w:before="240" w:after="240"/>
        <w:jc w:val="both"/>
        <w:rPr>
          <w:rFonts w:eastAsia="Aptos" w:cs="Aptos"/>
          <w:sz w:val="22"/>
          <w:szCs w:val="22"/>
        </w:rPr>
      </w:pPr>
      <w:r w:rsidRPr="00F96048">
        <w:rPr>
          <w:rFonts w:eastAsia="Aptos" w:cs="Aptos"/>
          <w:sz w:val="22"/>
          <w:szCs w:val="22"/>
        </w:rPr>
        <w:t>Bidwell in Keller (2025) sta proučevala horizontalne in vertikalne premike zaposlenih znotraj velike organizacije v ameriškem zdravstvenem sektorju. Ugotovila sta, da se je letno približno 11 % zaposlenih horizontalno premaknilo na drugo delovno mesto na isti hierarhični ravni, okoli 10 % pa jih je napredovalo. Zaposleni po horizontalnem premiku so bili v naslednjih letih pogosteje napredovani kot primerljivi zaposleni, ki so ostali na istem delovnem mestu, pri čemer se je ta prednost izraziteje pokazala po treh do štirih letih. Učinek je bil predvsem prisoten pri prehodih med različnimi funkcionalnimi področji, kjer so se naloge in zahtevane spretnosti bolj razlikovale. Horizontalni premiki so bili povezani tudi z višjo plačo, ne pa tudi z boljšo delovno uspešnostjo.</w:t>
      </w:r>
      <w:r w:rsidR="344B6B92" w:rsidRPr="00F96048">
        <w:rPr>
          <w:rFonts w:eastAsia="Aptos" w:cs="Aptos"/>
          <w:sz w:val="22"/>
          <w:szCs w:val="22"/>
        </w:rPr>
        <w:t xml:space="preserve"> Do podobnih ugotovitev so prišli tudi Dohmen in sodelavci (2004), ki so v okviru desetletnega spremljanja zaposlenih v nizozemskem podjetju zabeležili 13.636 horizontalnih premikov znotraj iste hierarhične ravni. Približno četrtina teh premikov je vključevala tudi prehod na drugo področje dela. Pri zaposlenih na nižjih hierarhičnih ravneh so bili takšni premiki povezani z večjo verjetnostjo poznejšega napredovanja. Horizontalni premiki so lahko pomenili tudi karierni napredek brez spremembe hierarhične ravni, saj je bilo 45 % premikov usmerjenih na delovna mesta z višjo značilno plačno ravnjo</w:t>
      </w:r>
      <w:r w:rsidR="11CF2FEE" w:rsidRPr="00F96048">
        <w:rPr>
          <w:rFonts w:eastAsia="Aptos" w:cs="Aptos"/>
          <w:sz w:val="22"/>
          <w:szCs w:val="22"/>
        </w:rPr>
        <w:t>.</w:t>
      </w:r>
    </w:p>
    <w:p w14:paraId="39C08E67" w14:textId="54AEC5E7" w:rsidR="70F5FB65" w:rsidRPr="00F96048" w:rsidRDefault="70F5FB65" w:rsidP="008041B9">
      <w:pPr>
        <w:pStyle w:val="Naslov2"/>
        <w:jc w:val="both"/>
      </w:pPr>
      <w:r w:rsidRPr="00F96048">
        <w:t>Nasledstveno načrtovanje</w:t>
      </w:r>
    </w:p>
    <w:p w14:paraId="12DDE699" w14:textId="0C31E0FF" w:rsidR="2865CEDE" w:rsidRPr="00F96048" w:rsidRDefault="00F57D16" w:rsidP="008041B9">
      <w:pPr>
        <w:spacing w:before="240" w:after="240"/>
        <w:jc w:val="both"/>
        <w:rPr>
          <w:sz w:val="22"/>
          <w:szCs w:val="22"/>
        </w:rPr>
      </w:pPr>
      <w:r w:rsidRPr="00F57D16">
        <w:rPr>
          <w:rFonts w:eastAsia="Aptos" w:cs="Aptos"/>
          <w:sz w:val="22"/>
          <w:szCs w:val="22"/>
        </w:rPr>
        <w:t>Ker lahko pomanjkanje ustrezno usposobljenih kandidatov oteži pravočasen prenos ključnih vlog in znanja znotraj organizacije, je pravočasna priprava zaposlenih na prevzem teh vlog bistvenega pomena (Azmi idr., 2025).</w:t>
      </w:r>
      <w:r>
        <w:rPr>
          <w:rFonts w:eastAsia="Aptos" w:cs="Aptos"/>
          <w:sz w:val="22"/>
          <w:szCs w:val="22"/>
        </w:rPr>
        <w:t xml:space="preserve"> </w:t>
      </w:r>
      <w:r w:rsidR="00F627C8" w:rsidRPr="00F627C8">
        <w:rPr>
          <w:rFonts w:eastAsia="Aptos" w:cs="Aptos"/>
          <w:sz w:val="22"/>
          <w:szCs w:val="22"/>
        </w:rPr>
        <w:t>Temu je namenjeno nasledstveno načrtovanje, ki predstavlja sistematičen proces prepoznavanja potencialnih naslednikov ter njihove priprave na prihodnje ključne vloge.</w:t>
      </w:r>
      <w:r w:rsidR="00F627C8">
        <w:rPr>
          <w:rFonts w:eastAsia="Aptos" w:cs="Aptos"/>
          <w:sz w:val="22"/>
          <w:szCs w:val="22"/>
        </w:rPr>
        <w:t xml:space="preserve"> </w:t>
      </w:r>
      <w:r w:rsidR="2865CEDE" w:rsidRPr="00F96048">
        <w:rPr>
          <w:rFonts w:eastAsia="Aptos" w:cs="Aptos"/>
          <w:sz w:val="22"/>
          <w:szCs w:val="22"/>
        </w:rPr>
        <w:t xml:space="preserve">Za razliko od nadomestitvenega načrtovanja, ki je usmerjeno v zapolnitev konkretnega prostega delovnega mesta, je nasledstveno načrtovanje dolgoročnejše in vključuje oblikovanje bazena potencialnih naslednikov ter njihov načrten razvoj (Bano idr., 2022). Pri načrtovanju nasledstev se organizacije pogosto srečujejo tudi z različnimi izzivi. Azmi in </w:t>
      </w:r>
      <w:r w:rsidR="2865CEDE" w:rsidRPr="00F96048">
        <w:rPr>
          <w:rFonts w:eastAsia="Aptos" w:cs="Aptos"/>
          <w:sz w:val="22"/>
          <w:szCs w:val="22"/>
        </w:rPr>
        <w:lastRenderedPageBreak/>
        <w:t>sodelavci (2025) so v pregledu 15 raziskav med pomembnejšimi izpostavili razvoj in zadržanje talentov, kulturne in generacijske razlike ter odpor do sprememb in vključevanja nasledstvenega načrtovanja v ustaljene organizacijske prakse.</w:t>
      </w:r>
      <w:r w:rsidR="1EA1FB62" w:rsidRPr="00F96048">
        <w:rPr>
          <w:rFonts w:eastAsia="Aptos" w:cs="Aptos"/>
          <w:sz w:val="22"/>
          <w:szCs w:val="22"/>
        </w:rPr>
        <w:t xml:space="preserve"> </w:t>
      </w:r>
    </w:p>
    <w:p w14:paraId="2BB5B239" w14:textId="462DB952" w:rsidR="399CEF26" w:rsidRPr="00F96048" w:rsidRDefault="399CEF26" w:rsidP="008041B9">
      <w:pPr>
        <w:spacing w:before="240" w:after="240"/>
        <w:jc w:val="both"/>
        <w:rPr>
          <w:rFonts w:eastAsia="Aptos" w:cs="Aptos"/>
          <w:sz w:val="22"/>
          <w:szCs w:val="22"/>
        </w:rPr>
      </w:pPr>
      <w:r w:rsidRPr="00F96048">
        <w:rPr>
          <w:rFonts w:eastAsia="Aptos" w:cs="Aptos"/>
          <w:sz w:val="22"/>
          <w:szCs w:val="22"/>
        </w:rPr>
        <w:t xml:space="preserve">Nasledstveno načrtovanje poteka skozi več povezanih faz, ki vključujejo prepoznavanje ključnih delovnih mest, določanje potrebnih kompetenc, izbiro ustreznih nasledstvenih strategij, izvedbo načrta ter njegovo spremljanje in vrednotenje (Martin, 2015). Med najpogosteje izpostavljenimi dejavniki uspešnega izvajanja nasledstvenega načrtovanja so razpoložljivost notranjega bazena talentov, povezanost z drugimi kadrovskimi praksami, podpora vodstva in dolgoročna zavezanost organizacije procesu (Al Jahwari in Alwi, 2023). Podobno sta ugotovila tudi Pandey in Sharma (2014), ki sta proučevala prakse in izzive nasledstvenega načrtovanja v organizacijah iz različnih panog. </w:t>
      </w:r>
      <w:r w:rsidR="007A1300" w:rsidRPr="007A1300">
        <w:rPr>
          <w:rFonts w:eastAsia="Aptos" w:cs="Aptos"/>
          <w:sz w:val="22"/>
          <w:szCs w:val="22"/>
        </w:rPr>
        <w:t>V raziskavi je 100 % sodelujočih kot pomemben izziv izpostavilo oblikovanje bazena talentov, 96 % pa težave pri napovedovanju prihodnjih kadrovskih potreb. Ob tem je imelo le 26,7 % organizacij jasno določene kompetence za posamezne vloge, kar dodatno poudarja pomen pravočasne opredelitve zahtev in kompetenc za prihodnje ključne vloge.</w:t>
      </w:r>
    </w:p>
    <w:p w14:paraId="7E8DA37F" w14:textId="06F96F5B" w:rsidR="68B7B1C2" w:rsidRPr="00F96048" w:rsidRDefault="68B7B1C2" w:rsidP="008041B9">
      <w:pPr>
        <w:pStyle w:val="Naslov2"/>
        <w:jc w:val="both"/>
      </w:pPr>
      <w:r w:rsidRPr="00F96048">
        <w:t>Zaključek</w:t>
      </w:r>
    </w:p>
    <w:p w14:paraId="2EB9C0AB" w14:textId="694E2391" w:rsidR="004B5CDB" w:rsidRPr="004B5CDB" w:rsidRDefault="00EF2AD2" w:rsidP="008041B9">
      <w:pPr>
        <w:jc w:val="both"/>
        <w:rPr>
          <w:sz w:val="22"/>
          <w:szCs w:val="22"/>
        </w:rPr>
      </w:pPr>
      <w:r w:rsidRPr="00EF2AD2">
        <w:rPr>
          <w:sz w:val="22"/>
          <w:szCs w:val="22"/>
        </w:rPr>
        <w:t>Na sodobnem in vse bolj nepredvidljivem trgu dela morajo organizacije, ki želijo ostati konkurenčne in dolgoročno uspešne, poleg razvoja procesov in tehnologije vlagati tudi v razvoj zaposlenih. Kader je namreč tisti, ki nosi strokovno znanje, kompetence in izkušnje, potrebne za doseganje organizacijskih ciljev.</w:t>
      </w:r>
      <w:r w:rsidR="00285536">
        <w:rPr>
          <w:sz w:val="22"/>
          <w:szCs w:val="22"/>
        </w:rPr>
        <w:t xml:space="preserve"> </w:t>
      </w:r>
      <w:r w:rsidR="004B5CDB" w:rsidRPr="004B5CDB">
        <w:rPr>
          <w:sz w:val="22"/>
          <w:szCs w:val="22"/>
        </w:rPr>
        <w:t>Bethke-Langenegger in sodelavci (2011) so na podlagi podatkov 138 švicarskih podjetij ugotovili, da so bile strategije upravljanja talentov, usmerjene v njihov razvoj in zadržanje, povezane z ugodnejšimi izidi pri zaposlenih, med drugim z večjim zadovoljstvom pri delu, motivacijo, pripadnostjo organizaciji in zaupanjem v vodje. Strategija razvoja talentov je bila pozitivno povezana tudi z vsemi proučevanimi kazalniki organizacijske uspešnosti.</w:t>
      </w:r>
    </w:p>
    <w:p w14:paraId="27211BC4" w14:textId="6F622944" w:rsidR="004B5CDB" w:rsidRPr="004B5CDB" w:rsidRDefault="004B5CDB" w:rsidP="008041B9">
      <w:pPr>
        <w:jc w:val="both"/>
        <w:rPr>
          <w:sz w:val="22"/>
          <w:szCs w:val="22"/>
        </w:rPr>
      </w:pPr>
      <w:r w:rsidRPr="004B5CDB">
        <w:rPr>
          <w:sz w:val="22"/>
          <w:szCs w:val="22"/>
        </w:rPr>
        <w:t>Menim, da upravljanj</w:t>
      </w:r>
      <w:r w:rsidR="008D1D93">
        <w:rPr>
          <w:sz w:val="22"/>
          <w:szCs w:val="22"/>
        </w:rPr>
        <w:t>a</w:t>
      </w:r>
      <w:r w:rsidRPr="004B5CDB">
        <w:rPr>
          <w:sz w:val="22"/>
          <w:szCs w:val="22"/>
        </w:rPr>
        <w:t xml:space="preserve"> talentov ne bi smeli</w:t>
      </w:r>
      <w:r w:rsidR="008D1D93">
        <w:rPr>
          <w:sz w:val="22"/>
          <w:szCs w:val="22"/>
        </w:rPr>
        <w:t xml:space="preserve"> </w:t>
      </w:r>
      <w:r w:rsidR="008D1D93" w:rsidRPr="008D1D93">
        <w:rPr>
          <w:sz w:val="22"/>
          <w:szCs w:val="22"/>
        </w:rPr>
        <w:t>omejiti zgolj na posamezne kadrovske aktivnosti</w:t>
      </w:r>
      <w:r w:rsidRPr="004B5CDB">
        <w:rPr>
          <w:sz w:val="22"/>
          <w:szCs w:val="22"/>
        </w:rPr>
        <w:t>, temveč bi ga bilo bolje zasnovati kot strukturiran proces, ki se začne s prepoznavanjem potenciala in nadaljuje z razvojem, notranjo mobilnostjo ter pripravo zaposlenih na prihodnje vloge. Ob tem se poraja vprašanje, kaj storiti z zaposlenimi, ki so bili prepoznani in razviti kot potencialni nasledniki, vendar se zanje ustrezno delovno mesto še ni sprostilo. Izsledki raziskav kažejo, da je v takšnih primerih najbolje, da organizacija njihov razvoj nadaljuje tudi z drugimi kariernimi in razvojnimi možnostmi ter spodbuja pretočnost zaposlenih znotraj organizacije. Bidwell in Keller (2025) sta npr. ugotovila, da horizontalni premiki predstavljajo pomemben del nadaljnjega kariernega razvoja tudi brez takojšnjega vertikalnega napredovanja.</w:t>
      </w:r>
      <w:r w:rsidR="008F3BC9">
        <w:rPr>
          <w:sz w:val="22"/>
          <w:szCs w:val="22"/>
        </w:rPr>
        <w:t xml:space="preserve"> </w:t>
      </w:r>
      <w:r w:rsidRPr="004B5CDB">
        <w:rPr>
          <w:sz w:val="22"/>
          <w:szCs w:val="22"/>
        </w:rPr>
        <w:t xml:space="preserve">Benson in Rissing (2020) prav tako </w:t>
      </w:r>
      <w:r w:rsidR="0043776F">
        <w:rPr>
          <w:sz w:val="22"/>
          <w:szCs w:val="22"/>
        </w:rPr>
        <w:t>navajata,</w:t>
      </w:r>
      <w:r w:rsidRPr="004B5CDB">
        <w:rPr>
          <w:sz w:val="22"/>
          <w:szCs w:val="22"/>
        </w:rPr>
        <w:t xml:space="preserve"> da lahko notranje karierne priložnosti pomembno prispevajo k zadržanju visoko uspešnih zaposlenih, saj so bili ti po napredovanju znotraj organizacije manj nagnjeni k prostovoljnemu odhodu.</w:t>
      </w:r>
    </w:p>
    <w:p w14:paraId="3C32F828" w14:textId="691822D2" w:rsidR="004B5CDB" w:rsidRPr="004B5CDB" w:rsidRDefault="004B5CDB" w:rsidP="008041B9">
      <w:pPr>
        <w:jc w:val="both"/>
        <w:rPr>
          <w:sz w:val="22"/>
          <w:szCs w:val="22"/>
        </w:rPr>
      </w:pPr>
      <w:r w:rsidRPr="004B5CDB">
        <w:rPr>
          <w:sz w:val="22"/>
          <w:szCs w:val="22"/>
        </w:rPr>
        <w:t>Ena izmed ovir pri upravljanju talentov je tudi dejstvo, da takšnega sistema ni mogoče enako učinkovito vzpostaviti v vseh organizacijah.</w:t>
      </w:r>
      <w:r w:rsidR="00DF3CFE">
        <w:rPr>
          <w:sz w:val="22"/>
          <w:szCs w:val="22"/>
        </w:rPr>
        <w:t xml:space="preserve"> </w:t>
      </w:r>
      <w:r w:rsidRPr="004B5CDB">
        <w:rPr>
          <w:sz w:val="22"/>
          <w:szCs w:val="22"/>
        </w:rPr>
        <w:t xml:space="preserve">Cantoni in sodelavci (2026) so v raziskavi 23 malih in srednje velikih podjetij ugotovili, da velikost podjetja vpliva na razpoložljivost virov za upravljanje talentov in stopnjo formaliziranosti teh praks. V manjših podjetjih so bili pristopi bolj neformalni in prilagojeni posameznim zaposlenim, omejene možnosti vertikalnega napredovanja pa so </w:t>
      </w:r>
      <w:r w:rsidRPr="004B5CDB">
        <w:rPr>
          <w:sz w:val="22"/>
          <w:szCs w:val="22"/>
        </w:rPr>
        <w:lastRenderedPageBreak/>
        <w:t>nadomeščali z večanjem odgovornosti, razvojem spretnosti in horizontalnimi kariernimi premiki. Pri razvoju talentov so se podjetja opirala tudi na rotacije delovnih mest in učenje ob delu.</w:t>
      </w:r>
    </w:p>
    <w:p w14:paraId="04775629" w14:textId="6B07CEBB" w:rsidR="0061688E" w:rsidRPr="0061688E" w:rsidRDefault="0061688E" w:rsidP="0061688E">
      <w:pPr>
        <w:jc w:val="both"/>
        <w:rPr>
          <w:sz w:val="22"/>
          <w:szCs w:val="22"/>
        </w:rPr>
      </w:pPr>
      <w:r w:rsidRPr="0061688E">
        <w:rPr>
          <w:sz w:val="22"/>
          <w:szCs w:val="22"/>
        </w:rPr>
        <w:t xml:space="preserve">Na podlagi predstavljenih ugotovitev prihodnosti upravljanja talentov ne vidim v enem formalnem modelu, temveč v sistematičnem pristopu, ki je prilagojen velikosti, možnostim in potrebam posamezne organizacije. Bistveno je predvsem, da organizacija ne ostane zgolj pri prepoznavanju talentov, ampak njihov razvoj nadaljuje tudi takrat, ko se ustrezna pozicija še ni sprostila. Menim, da lahko takšen pristop pomaga ohranjati motivacijo zaposlenih, saj jim daje občutek, da njihov razvoj znotraj organizacije ni zastal. To je lahko pomembno tudi za njihovo odločitev, da v organizaciji ostanejo, se počutijo bolj pripadne in zaznavajo pomen svoje vloge. Ob novih kadrovskih potrebah so tako tudi bolje pripravljeni na prevzem zahtevnejših </w:t>
      </w:r>
      <w:r w:rsidR="00DA68C5">
        <w:rPr>
          <w:sz w:val="22"/>
          <w:szCs w:val="22"/>
        </w:rPr>
        <w:t>pozicij.</w:t>
      </w:r>
    </w:p>
    <w:p w14:paraId="59363704" w14:textId="4F369471" w:rsidR="1FC49837" w:rsidRPr="00F96048" w:rsidRDefault="1FC49837" w:rsidP="002716AC">
      <w:pPr>
        <w:jc w:val="both"/>
        <w:rPr>
          <w:sz w:val="22"/>
          <w:szCs w:val="22"/>
        </w:rPr>
      </w:pPr>
      <w:r w:rsidRPr="00F96048">
        <w:rPr>
          <w:sz w:val="22"/>
          <w:szCs w:val="22"/>
        </w:rPr>
        <w:br w:type="page"/>
      </w:r>
    </w:p>
    <w:p w14:paraId="6FF67A10" w14:textId="3F2056C1" w:rsidR="599A067E" w:rsidRPr="00F96048" w:rsidRDefault="599A067E" w:rsidP="002716AC">
      <w:pPr>
        <w:pStyle w:val="Naslov2"/>
        <w:jc w:val="both"/>
      </w:pPr>
      <w:r w:rsidRPr="00F96048">
        <w:lastRenderedPageBreak/>
        <w:t>Viri in literatura</w:t>
      </w:r>
    </w:p>
    <w:p w14:paraId="77978319" w14:textId="77777777" w:rsidR="00791D7C" w:rsidRPr="00791D7C" w:rsidRDefault="00791D7C" w:rsidP="00DA2EFE">
      <w:pPr>
        <w:spacing w:line="278" w:lineRule="auto"/>
        <w:ind w:left="709" w:hanging="709"/>
        <w:jc w:val="both"/>
        <w:rPr>
          <w:sz w:val="22"/>
          <w:szCs w:val="22"/>
        </w:rPr>
      </w:pPr>
      <w:r w:rsidRPr="00791D7C">
        <w:rPr>
          <w:sz w:val="22"/>
          <w:szCs w:val="22"/>
        </w:rPr>
        <w:t xml:space="preserve">Al Jahwari, A. T. in Alwi, M. N. R. (2023). A systematic literature review of factors affecting succession planning implementation in empirical studies. </w:t>
      </w:r>
      <w:r w:rsidRPr="00791D7C">
        <w:rPr>
          <w:i/>
          <w:iCs/>
          <w:sz w:val="22"/>
          <w:szCs w:val="22"/>
        </w:rPr>
        <w:t>WSEAS Transactions on Business and Economics, 20</w:t>
      </w:r>
      <w:r w:rsidRPr="00791D7C">
        <w:rPr>
          <w:sz w:val="22"/>
          <w:szCs w:val="22"/>
        </w:rPr>
        <w:t xml:space="preserve">, 1615–1620. </w:t>
      </w:r>
      <w:hyperlink r:id="rId5" w:tgtFrame="_new" w:history="1">
        <w:r w:rsidRPr="00791D7C">
          <w:rPr>
            <w:rStyle w:val="Hiperpovezava"/>
            <w:sz w:val="22"/>
            <w:szCs w:val="22"/>
          </w:rPr>
          <w:t>https://doi.org/10.37394/23207.2023.20.142</w:t>
        </w:r>
      </w:hyperlink>
    </w:p>
    <w:p w14:paraId="0A8D5218" w14:textId="77777777" w:rsidR="00791D7C" w:rsidRPr="00791D7C" w:rsidRDefault="00791D7C" w:rsidP="00DA2EFE">
      <w:pPr>
        <w:spacing w:line="278" w:lineRule="auto"/>
        <w:ind w:left="709" w:hanging="709"/>
        <w:jc w:val="both"/>
        <w:rPr>
          <w:sz w:val="22"/>
          <w:szCs w:val="22"/>
        </w:rPr>
      </w:pPr>
      <w:r w:rsidRPr="00791D7C">
        <w:rPr>
          <w:sz w:val="22"/>
          <w:szCs w:val="22"/>
        </w:rPr>
        <w:t xml:space="preserve">Azmi, M. A. S. M., Ibrahim, M. A. A., Shukor, M. S. H. M., Rahim, A. A. I. A., Puteh, F. in Kamal, A. N. A. (2025). Succession planning for organisational survival: Challenges and recommendations. </w:t>
      </w:r>
      <w:r w:rsidRPr="00791D7C">
        <w:rPr>
          <w:i/>
          <w:iCs/>
          <w:sz w:val="22"/>
          <w:szCs w:val="22"/>
        </w:rPr>
        <w:t>Journal of Business Management and Accounting, 15</w:t>
      </w:r>
      <w:r w:rsidRPr="00791D7C">
        <w:rPr>
          <w:sz w:val="22"/>
          <w:szCs w:val="22"/>
        </w:rPr>
        <w:t xml:space="preserve">(1), 1–13. </w:t>
      </w:r>
      <w:hyperlink r:id="rId6" w:tgtFrame="_new" w:history="1">
        <w:r w:rsidRPr="00791D7C">
          <w:rPr>
            <w:rStyle w:val="Hiperpovezava"/>
            <w:sz w:val="22"/>
            <w:szCs w:val="22"/>
          </w:rPr>
          <w:t>https://doi.org/10.32890/jbma2025.15.1.1</w:t>
        </w:r>
      </w:hyperlink>
    </w:p>
    <w:p w14:paraId="6A930782" w14:textId="77777777" w:rsidR="00791D7C" w:rsidRPr="00791D7C" w:rsidRDefault="00791D7C" w:rsidP="00DA2EFE">
      <w:pPr>
        <w:spacing w:line="278" w:lineRule="auto"/>
        <w:ind w:left="709" w:hanging="709"/>
        <w:jc w:val="both"/>
        <w:rPr>
          <w:sz w:val="22"/>
          <w:szCs w:val="22"/>
        </w:rPr>
      </w:pPr>
      <w:r w:rsidRPr="00791D7C">
        <w:rPr>
          <w:sz w:val="22"/>
          <w:szCs w:val="22"/>
        </w:rPr>
        <w:t xml:space="preserve">Bano, Y., Omar, S. S. in Ismail, F. (2022). Succession planning best practices for large and small organizations. </w:t>
      </w:r>
      <w:r w:rsidRPr="00791D7C">
        <w:rPr>
          <w:i/>
          <w:iCs/>
          <w:sz w:val="22"/>
          <w:szCs w:val="22"/>
        </w:rPr>
        <w:t>Mediterranean Journal of Social Sciences, 13</w:t>
      </w:r>
      <w:r w:rsidRPr="00791D7C">
        <w:rPr>
          <w:sz w:val="22"/>
          <w:szCs w:val="22"/>
        </w:rPr>
        <w:t xml:space="preserve">(2), 11–21. </w:t>
      </w:r>
      <w:hyperlink r:id="rId7" w:tgtFrame="_new" w:history="1">
        <w:r w:rsidRPr="00791D7C">
          <w:rPr>
            <w:rStyle w:val="Hiperpovezava"/>
            <w:sz w:val="22"/>
            <w:szCs w:val="22"/>
          </w:rPr>
          <w:t>https://doi.org/10.36941/mjss-2022-0013</w:t>
        </w:r>
      </w:hyperlink>
    </w:p>
    <w:p w14:paraId="2593E730" w14:textId="77777777" w:rsidR="00791D7C" w:rsidRPr="00791D7C" w:rsidRDefault="00791D7C" w:rsidP="00DA2EFE">
      <w:pPr>
        <w:spacing w:line="278" w:lineRule="auto"/>
        <w:ind w:left="709" w:hanging="709"/>
        <w:jc w:val="both"/>
        <w:rPr>
          <w:sz w:val="22"/>
          <w:szCs w:val="22"/>
        </w:rPr>
      </w:pPr>
      <w:r w:rsidRPr="00791D7C">
        <w:rPr>
          <w:sz w:val="22"/>
          <w:szCs w:val="22"/>
        </w:rPr>
        <w:t xml:space="preserve">Benson, A. in Rissing, B. A. (2020). Strength from within: Internal mobility and the retention of high performers. </w:t>
      </w:r>
      <w:r w:rsidRPr="00791D7C">
        <w:rPr>
          <w:i/>
          <w:iCs/>
          <w:sz w:val="22"/>
          <w:szCs w:val="22"/>
        </w:rPr>
        <w:t>Organization Science, 31</w:t>
      </w:r>
      <w:r w:rsidRPr="00791D7C">
        <w:rPr>
          <w:sz w:val="22"/>
          <w:szCs w:val="22"/>
        </w:rPr>
        <w:t xml:space="preserve">(6), 1475–1496. </w:t>
      </w:r>
      <w:hyperlink r:id="rId8" w:tgtFrame="_new" w:history="1">
        <w:r w:rsidRPr="00791D7C">
          <w:rPr>
            <w:rStyle w:val="Hiperpovezava"/>
            <w:sz w:val="22"/>
            <w:szCs w:val="22"/>
          </w:rPr>
          <w:t>https://doi.org/10.1287/orsc.2020.1362</w:t>
        </w:r>
      </w:hyperlink>
    </w:p>
    <w:p w14:paraId="3618D190" w14:textId="77777777" w:rsidR="00791D7C" w:rsidRPr="00791D7C" w:rsidRDefault="00791D7C" w:rsidP="00DA2EFE">
      <w:pPr>
        <w:spacing w:line="278" w:lineRule="auto"/>
        <w:ind w:left="709" w:hanging="709"/>
        <w:jc w:val="both"/>
        <w:rPr>
          <w:sz w:val="22"/>
          <w:szCs w:val="22"/>
        </w:rPr>
      </w:pPr>
      <w:r w:rsidRPr="00791D7C">
        <w:rPr>
          <w:sz w:val="22"/>
          <w:szCs w:val="22"/>
        </w:rPr>
        <w:t xml:space="preserve">Bethke-Langenegger, P., Mahler, P. in Staffelbach, B. (2011). Effectiveness of talent management strategies. </w:t>
      </w:r>
      <w:r w:rsidRPr="00791D7C">
        <w:rPr>
          <w:i/>
          <w:iCs/>
          <w:sz w:val="22"/>
          <w:szCs w:val="22"/>
        </w:rPr>
        <w:t>European Journal of International Management, 5</w:t>
      </w:r>
      <w:r w:rsidRPr="00791D7C">
        <w:rPr>
          <w:sz w:val="22"/>
          <w:szCs w:val="22"/>
        </w:rPr>
        <w:t xml:space="preserve">(5), 524–539. </w:t>
      </w:r>
      <w:hyperlink r:id="rId9" w:tgtFrame="_new" w:history="1">
        <w:r w:rsidRPr="00791D7C">
          <w:rPr>
            <w:rStyle w:val="Hiperpovezava"/>
            <w:sz w:val="22"/>
            <w:szCs w:val="22"/>
          </w:rPr>
          <w:t>https://doi.org/10.1504/EJIM.2011.042177</w:t>
        </w:r>
      </w:hyperlink>
    </w:p>
    <w:p w14:paraId="712C52D5" w14:textId="77777777" w:rsidR="00791D7C" w:rsidRPr="00791D7C" w:rsidRDefault="00791D7C" w:rsidP="00DA2EFE">
      <w:pPr>
        <w:spacing w:line="278" w:lineRule="auto"/>
        <w:ind w:left="709" w:hanging="709"/>
        <w:jc w:val="both"/>
        <w:rPr>
          <w:sz w:val="22"/>
          <w:szCs w:val="22"/>
        </w:rPr>
      </w:pPr>
      <w:r w:rsidRPr="00791D7C">
        <w:rPr>
          <w:sz w:val="22"/>
          <w:szCs w:val="22"/>
        </w:rPr>
        <w:t xml:space="preserve">Bidwell, M. in Keller, J. R. (2025). Stepping sideways to step up: Lateral mobility and career advancement inside organizations. </w:t>
      </w:r>
      <w:r w:rsidRPr="00791D7C">
        <w:rPr>
          <w:i/>
          <w:iCs/>
          <w:sz w:val="22"/>
          <w:szCs w:val="22"/>
        </w:rPr>
        <w:t>Management Science, 71</w:t>
      </w:r>
      <w:r w:rsidRPr="00791D7C">
        <w:rPr>
          <w:sz w:val="22"/>
          <w:szCs w:val="22"/>
        </w:rPr>
        <w:t xml:space="preserve">(1), 240–261. </w:t>
      </w:r>
      <w:hyperlink r:id="rId10" w:tgtFrame="_new" w:history="1">
        <w:r w:rsidRPr="00791D7C">
          <w:rPr>
            <w:rStyle w:val="Hiperpovezava"/>
            <w:sz w:val="22"/>
            <w:szCs w:val="22"/>
          </w:rPr>
          <w:t>https://doi.org/10.1287/mnsc.2021.03746</w:t>
        </w:r>
      </w:hyperlink>
    </w:p>
    <w:p w14:paraId="4C72A732" w14:textId="77777777" w:rsidR="00791D7C" w:rsidRPr="00791D7C" w:rsidRDefault="00791D7C" w:rsidP="00DA2EFE">
      <w:pPr>
        <w:spacing w:line="278" w:lineRule="auto"/>
        <w:ind w:left="709" w:hanging="709"/>
        <w:jc w:val="both"/>
        <w:rPr>
          <w:sz w:val="22"/>
          <w:szCs w:val="22"/>
        </w:rPr>
      </w:pPr>
      <w:r w:rsidRPr="00791D7C">
        <w:rPr>
          <w:sz w:val="22"/>
          <w:szCs w:val="22"/>
        </w:rPr>
        <w:t xml:space="preserve">Blume, B. D., Ford, J. K., Baldwin, T. T. in Huang, J. L. (2010). Transfer of training: A meta-analytic review. </w:t>
      </w:r>
      <w:r w:rsidRPr="00791D7C">
        <w:rPr>
          <w:i/>
          <w:iCs/>
          <w:sz w:val="22"/>
          <w:szCs w:val="22"/>
        </w:rPr>
        <w:t>Journal of Management, 36</w:t>
      </w:r>
      <w:r w:rsidRPr="00791D7C">
        <w:rPr>
          <w:sz w:val="22"/>
          <w:szCs w:val="22"/>
        </w:rPr>
        <w:t xml:space="preserve">(4), 1065–1105. </w:t>
      </w:r>
      <w:hyperlink r:id="rId11" w:tgtFrame="_new" w:history="1">
        <w:r w:rsidRPr="00791D7C">
          <w:rPr>
            <w:rStyle w:val="Hiperpovezava"/>
            <w:sz w:val="22"/>
            <w:szCs w:val="22"/>
          </w:rPr>
          <w:t>https://doi.org/10.1177/0149206309352880</w:t>
        </w:r>
      </w:hyperlink>
    </w:p>
    <w:p w14:paraId="6584FFB4" w14:textId="77777777" w:rsidR="00791D7C" w:rsidRPr="00791D7C" w:rsidRDefault="00791D7C" w:rsidP="00DA2EFE">
      <w:pPr>
        <w:spacing w:line="278" w:lineRule="auto"/>
        <w:ind w:left="709" w:hanging="709"/>
        <w:jc w:val="both"/>
        <w:rPr>
          <w:sz w:val="22"/>
          <w:szCs w:val="22"/>
        </w:rPr>
      </w:pPr>
      <w:r w:rsidRPr="00791D7C">
        <w:rPr>
          <w:sz w:val="22"/>
          <w:szCs w:val="22"/>
        </w:rPr>
        <w:t xml:space="preserve">Boštjančič, E. in Slana, Z. (2018). The role of talent management comparing medium-sized and large companies—Major challenges in attracting and retaining talented employees. </w:t>
      </w:r>
      <w:r w:rsidRPr="00791D7C">
        <w:rPr>
          <w:i/>
          <w:iCs/>
          <w:sz w:val="22"/>
          <w:szCs w:val="22"/>
        </w:rPr>
        <w:t>Frontiers in Psychology, 9</w:t>
      </w:r>
      <w:r w:rsidRPr="00791D7C">
        <w:rPr>
          <w:sz w:val="22"/>
          <w:szCs w:val="22"/>
        </w:rPr>
        <w:t xml:space="preserve">, Article 1750. </w:t>
      </w:r>
      <w:hyperlink r:id="rId12" w:tgtFrame="_new" w:history="1">
        <w:r w:rsidRPr="00791D7C">
          <w:rPr>
            <w:rStyle w:val="Hiperpovezava"/>
            <w:sz w:val="22"/>
            <w:szCs w:val="22"/>
          </w:rPr>
          <w:t>https://doi.org/10.3389/fpsyg.2018.01750</w:t>
        </w:r>
      </w:hyperlink>
    </w:p>
    <w:p w14:paraId="3A5294BA" w14:textId="77777777" w:rsidR="00791D7C" w:rsidRPr="00791D7C" w:rsidRDefault="00791D7C" w:rsidP="00DA2EFE">
      <w:pPr>
        <w:spacing w:line="278" w:lineRule="auto"/>
        <w:ind w:left="709" w:hanging="709"/>
        <w:jc w:val="both"/>
        <w:rPr>
          <w:sz w:val="22"/>
          <w:szCs w:val="22"/>
        </w:rPr>
      </w:pPr>
      <w:r w:rsidRPr="00791D7C">
        <w:rPr>
          <w:sz w:val="22"/>
          <w:szCs w:val="22"/>
        </w:rPr>
        <w:t xml:space="preserve">Cannon-Bowers, J. A., Bowers, C. A., Carlson, C. E., Doherty, S. L., Evans, J. in Hall, J. (2023). Workplace coaching: A meta-analysis and recommendations for advancing the science of coaching. </w:t>
      </w:r>
      <w:r w:rsidRPr="00791D7C">
        <w:rPr>
          <w:i/>
          <w:iCs/>
          <w:sz w:val="22"/>
          <w:szCs w:val="22"/>
        </w:rPr>
        <w:t>Frontiers in Psychology, 14</w:t>
      </w:r>
      <w:r w:rsidRPr="00791D7C">
        <w:rPr>
          <w:sz w:val="22"/>
          <w:szCs w:val="22"/>
        </w:rPr>
        <w:t xml:space="preserve">, 1204166. </w:t>
      </w:r>
      <w:hyperlink r:id="rId13" w:tgtFrame="_new" w:history="1">
        <w:r w:rsidRPr="00791D7C">
          <w:rPr>
            <w:rStyle w:val="Hiperpovezava"/>
            <w:sz w:val="22"/>
            <w:szCs w:val="22"/>
          </w:rPr>
          <w:t>https://doi.org/10.3389/fpsyg.2023.1204166</w:t>
        </w:r>
      </w:hyperlink>
    </w:p>
    <w:p w14:paraId="0D207279" w14:textId="77777777" w:rsidR="00791D7C" w:rsidRPr="00791D7C" w:rsidRDefault="00791D7C" w:rsidP="00DA2EFE">
      <w:pPr>
        <w:spacing w:line="278" w:lineRule="auto"/>
        <w:ind w:left="709" w:hanging="709"/>
        <w:jc w:val="both"/>
        <w:rPr>
          <w:sz w:val="22"/>
          <w:szCs w:val="22"/>
        </w:rPr>
      </w:pPr>
      <w:r w:rsidRPr="00791D7C">
        <w:rPr>
          <w:sz w:val="22"/>
          <w:szCs w:val="22"/>
        </w:rPr>
        <w:t xml:space="preserve">Cantoni, F., Muzzi, C. in Gianecchini, M. (2026). Talent management in SMEs: Unraveling the role of contextual factors. </w:t>
      </w:r>
      <w:r w:rsidRPr="00791D7C">
        <w:rPr>
          <w:i/>
          <w:iCs/>
          <w:sz w:val="22"/>
          <w:szCs w:val="22"/>
        </w:rPr>
        <w:t>Human Resource Development Quarterly</w:t>
      </w:r>
      <w:r w:rsidRPr="00791D7C">
        <w:rPr>
          <w:sz w:val="22"/>
          <w:szCs w:val="22"/>
        </w:rPr>
        <w:t xml:space="preserve">. </w:t>
      </w:r>
      <w:hyperlink r:id="rId14" w:tgtFrame="_new" w:history="1">
        <w:r w:rsidRPr="00791D7C">
          <w:rPr>
            <w:rStyle w:val="Hiperpovezava"/>
            <w:sz w:val="22"/>
            <w:szCs w:val="22"/>
          </w:rPr>
          <w:t>https://doi.org/10.1002/hrdq.21566</w:t>
        </w:r>
      </w:hyperlink>
    </w:p>
    <w:p w14:paraId="30D449B3" w14:textId="77777777" w:rsidR="00791D7C" w:rsidRPr="00791D7C" w:rsidRDefault="00791D7C" w:rsidP="00DA2EFE">
      <w:pPr>
        <w:spacing w:line="278" w:lineRule="auto"/>
        <w:ind w:left="709" w:hanging="709"/>
        <w:jc w:val="both"/>
        <w:rPr>
          <w:sz w:val="22"/>
          <w:szCs w:val="22"/>
        </w:rPr>
      </w:pPr>
      <w:r w:rsidRPr="00791D7C">
        <w:rPr>
          <w:sz w:val="22"/>
          <w:szCs w:val="22"/>
        </w:rPr>
        <w:t xml:space="preserve">Carette, B., Anseel, F. in Lievens, F. (2013). Does career timing of challenging job assignments influence the relationship with in-role job performance? </w:t>
      </w:r>
      <w:r w:rsidRPr="00791D7C">
        <w:rPr>
          <w:i/>
          <w:iCs/>
          <w:sz w:val="22"/>
          <w:szCs w:val="22"/>
        </w:rPr>
        <w:t>Journal of Vocational Behavior, 83</w:t>
      </w:r>
      <w:r w:rsidRPr="00791D7C">
        <w:rPr>
          <w:sz w:val="22"/>
          <w:szCs w:val="22"/>
        </w:rPr>
        <w:t xml:space="preserve">(1), 61–67. </w:t>
      </w:r>
      <w:hyperlink r:id="rId15" w:tgtFrame="_new" w:history="1">
        <w:r w:rsidRPr="00791D7C">
          <w:rPr>
            <w:rStyle w:val="Hiperpovezava"/>
            <w:sz w:val="22"/>
            <w:szCs w:val="22"/>
          </w:rPr>
          <w:t>https://doi.org/10.1016/j.jvb.2013.03.001</w:t>
        </w:r>
      </w:hyperlink>
    </w:p>
    <w:p w14:paraId="5B1C2547" w14:textId="77777777" w:rsidR="00791D7C" w:rsidRPr="00791D7C" w:rsidRDefault="00791D7C" w:rsidP="00DA2EFE">
      <w:pPr>
        <w:spacing w:line="278" w:lineRule="auto"/>
        <w:ind w:left="709" w:hanging="709"/>
        <w:jc w:val="both"/>
        <w:rPr>
          <w:sz w:val="22"/>
          <w:szCs w:val="22"/>
        </w:rPr>
      </w:pPr>
      <w:r w:rsidRPr="00791D7C">
        <w:rPr>
          <w:sz w:val="22"/>
          <w:szCs w:val="22"/>
        </w:rPr>
        <w:lastRenderedPageBreak/>
        <w:t xml:space="preserve">Chang, C.-N., Justus-Smith, C., Malagon-Palacios, L. J. in Hui, J. (2023). The use of the individual development plan at minority serving institutions. </w:t>
      </w:r>
      <w:r w:rsidRPr="00791D7C">
        <w:rPr>
          <w:i/>
          <w:iCs/>
          <w:sz w:val="22"/>
          <w:szCs w:val="22"/>
        </w:rPr>
        <w:t>Frontiers in Education, 8</w:t>
      </w:r>
      <w:r w:rsidRPr="00791D7C">
        <w:rPr>
          <w:sz w:val="22"/>
          <w:szCs w:val="22"/>
        </w:rPr>
        <w:t xml:space="preserve">, 1258273. </w:t>
      </w:r>
      <w:hyperlink r:id="rId16" w:tgtFrame="_new" w:history="1">
        <w:r w:rsidRPr="00791D7C">
          <w:rPr>
            <w:rStyle w:val="Hiperpovezava"/>
            <w:sz w:val="22"/>
            <w:szCs w:val="22"/>
          </w:rPr>
          <w:t>https://doi.org/10.3389/feduc.2023.1258273</w:t>
        </w:r>
      </w:hyperlink>
    </w:p>
    <w:p w14:paraId="61CEF90C" w14:textId="77777777" w:rsidR="00791D7C" w:rsidRPr="00791D7C" w:rsidRDefault="00791D7C" w:rsidP="00DA2EFE">
      <w:pPr>
        <w:spacing w:line="278" w:lineRule="auto"/>
        <w:ind w:left="709" w:hanging="709"/>
        <w:jc w:val="both"/>
        <w:rPr>
          <w:sz w:val="22"/>
          <w:szCs w:val="22"/>
        </w:rPr>
      </w:pPr>
      <w:r w:rsidRPr="00791D7C">
        <w:rPr>
          <w:sz w:val="22"/>
          <w:szCs w:val="22"/>
        </w:rPr>
        <w:t xml:space="preserve">Church, A. H. (2018). Think outside the 9 box. </w:t>
      </w:r>
      <w:r w:rsidRPr="00791D7C">
        <w:rPr>
          <w:i/>
          <w:iCs/>
          <w:sz w:val="22"/>
          <w:szCs w:val="22"/>
        </w:rPr>
        <w:t>Talent Quarterly, 19</w:t>
      </w:r>
      <w:r w:rsidRPr="00791D7C">
        <w:rPr>
          <w:sz w:val="22"/>
          <w:szCs w:val="22"/>
        </w:rPr>
        <w:t xml:space="preserve">, 38–43. </w:t>
      </w:r>
      <w:hyperlink r:id="rId17" w:tgtFrame="_new" w:history="1">
        <w:r w:rsidRPr="00791D7C">
          <w:rPr>
            <w:rStyle w:val="Hiperpovezava"/>
            <w:sz w:val="22"/>
            <w:szCs w:val="22"/>
          </w:rPr>
          <w:t>https://www.talent-quarterly.com/think-outside-the-9-box/</w:t>
        </w:r>
      </w:hyperlink>
    </w:p>
    <w:p w14:paraId="5C351C8C" w14:textId="77777777" w:rsidR="00791D7C" w:rsidRPr="00791D7C" w:rsidRDefault="00791D7C" w:rsidP="00DA2EFE">
      <w:pPr>
        <w:spacing w:line="278" w:lineRule="auto"/>
        <w:ind w:left="709" w:hanging="709"/>
        <w:jc w:val="both"/>
        <w:rPr>
          <w:sz w:val="22"/>
          <w:szCs w:val="22"/>
        </w:rPr>
      </w:pPr>
      <w:r w:rsidRPr="00791D7C">
        <w:rPr>
          <w:sz w:val="22"/>
          <w:szCs w:val="22"/>
        </w:rPr>
        <w:t xml:space="preserve">Collings, D. G. in Mellahi, K. (2009). Strategic talent management: A review and research agenda. </w:t>
      </w:r>
      <w:r w:rsidRPr="00791D7C">
        <w:rPr>
          <w:i/>
          <w:iCs/>
          <w:sz w:val="22"/>
          <w:szCs w:val="22"/>
        </w:rPr>
        <w:t>Human Resource Management Review, 19</w:t>
      </w:r>
      <w:r w:rsidRPr="00791D7C">
        <w:rPr>
          <w:sz w:val="22"/>
          <w:szCs w:val="22"/>
        </w:rPr>
        <w:t xml:space="preserve">(4), 304–313. </w:t>
      </w:r>
      <w:hyperlink r:id="rId18" w:tgtFrame="_new" w:history="1">
        <w:r w:rsidRPr="00791D7C">
          <w:rPr>
            <w:rStyle w:val="Hiperpovezava"/>
            <w:sz w:val="22"/>
            <w:szCs w:val="22"/>
          </w:rPr>
          <w:t>https://doi.org/10.1016/j.hrmr.2009.04.001</w:t>
        </w:r>
      </w:hyperlink>
    </w:p>
    <w:p w14:paraId="7C9502DE" w14:textId="77777777" w:rsidR="00791D7C" w:rsidRPr="00791D7C" w:rsidRDefault="00791D7C" w:rsidP="00DA2EFE">
      <w:pPr>
        <w:spacing w:line="278" w:lineRule="auto"/>
        <w:ind w:left="709" w:hanging="709"/>
        <w:jc w:val="both"/>
        <w:rPr>
          <w:sz w:val="22"/>
          <w:szCs w:val="22"/>
        </w:rPr>
      </w:pPr>
      <w:r w:rsidRPr="00791D7C">
        <w:rPr>
          <w:sz w:val="22"/>
          <w:szCs w:val="22"/>
        </w:rPr>
        <w:t xml:space="preserve">Dohmen, T. J., Kriechel, B. in Pfann, G. A. (2004). Monkey bars and ladders: The importance of lateral and vertical job mobility in internal labor market careers. </w:t>
      </w:r>
      <w:r w:rsidRPr="00791D7C">
        <w:rPr>
          <w:i/>
          <w:iCs/>
          <w:sz w:val="22"/>
          <w:szCs w:val="22"/>
        </w:rPr>
        <w:t>Journal of Population Economics, 17</w:t>
      </w:r>
      <w:r w:rsidRPr="00791D7C">
        <w:rPr>
          <w:sz w:val="22"/>
          <w:szCs w:val="22"/>
        </w:rPr>
        <w:t>(2), 193–228. https://doi.org/10.1007/s00148-004-0191-4</w:t>
      </w:r>
    </w:p>
    <w:p w14:paraId="7B9C00F2" w14:textId="77777777" w:rsidR="00791D7C" w:rsidRPr="00791D7C" w:rsidRDefault="00791D7C" w:rsidP="00DA2EFE">
      <w:pPr>
        <w:spacing w:line="278" w:lineRule="auto"/>
        <w:ind w:left="709" w:hanging="709"/>
        <w:jc w:val="both"/>
        <w:rPr>
          <w:sz w:val="22"/>
          <w:szCs w:val="22"/>
        </w:rPr>
      </w:pPr>
      <w:r w:rsidRPr="00791D7C">
        <w:rPr>
          <w:sz w:val="22"/>
          <w:szCs w:val="22"/>
        </w:rPr>
        <w:t xml:space="preserve">Dries, N., Vantilborgh, T. in Pepermans, R. (2012). The role of learning agility and career variety in the identification and development of high potential employees. </w:t>
      </w:r>
      <w:r w:rsidRPr="00791D7C">
        <w:rPr>
          <w:i/>
          <w:iCs/>
          <w:sz w:val="22"/>
          <w:szCs w:val="22"/>
        </w:rPr>
        <w:t>Personnel Review, 41</w:t>
      </w:r>
      <w:r w:rsidRPr="00791D7C">
        <w:rPr>
          <w:sz w:val="22"/>
          <w:szCs w:val="22"/>
        </w:rPr>
        <w:t xml:space="preserve">(3), 340–358. </w:t>
      </w:r>
      <w:hyperlink r:id="rId19" w:tgtFrame="_new" w:history="1">
        <w:r w:rsidRPr="00791D7C">
          <w:rPr>
            <w:rStyle w:val="Hiperpovezava"/>
            <w:sz w:val="22"/>
            <w:szCs w:val="22"/>
          </w:rPr>
          <w:t>https://doi.org/10.1108/00483481211212977</w:t>
        </w:r>
      </w:hyperlink>
    </w:p>
    <w:p w14:paraId="2ADD3F53" w14:textId="77777777" w:rsidR="00791D7C" w:rsidRPr="00791D7C" w:rsidRDefault="00791D7C" w:rsidP="00DA2EFE">
      <w:pPr>
        <w:spacing w:line="278" w:lineRule="auto"/>
        <w:ind w:left="709" w:hanging="709"/>
        <w:jc w:val="both"/>
        <w:rPr>
          <w:sz w:val="22"/>
          <w:szCs w:val="22"/>
        </w:rPr>
      </w:pPr>
      <w:r w:rsidRPr="00791D7C">
        <w:rPr>
          <w:sz w:val="22"/>
          <w:szCs w:val="22"/>
        </w:rPr>
        <w:t xml:space="preserve">Gallardo-Gallardo, E., Dries, N. in González-Cruz, T. F. (2013). What is the meaning of ‘talent’ in the world of work? </w:t>
      </w:r>
      <w:r w:rsidRPr="00791D7C">
        <w:rPr>
          <w:i/>
          <w:iCs/>
          <w:sz w:val="22"/>
          <w:szCs w:val="22"/>
        </w:rPr>
        <w:t>Human Resource Management Review, 23</w:t>
      </w:r>
      <w:r w:rsidRPr="00791D7C">
        <w:rPr>
          <w:sz w:val="22"/>
          <w:szCs w:val="22"/>
        </w:rPr>
        <w:t xml:space="preserve">(4), 290–300. </w:t>
      </w:r>
      <w:hyperlink r:id="rId20" w:tgtFrame="_new" w:history="1">
        <w:r w:rsidRPr="00791D7C">
          <w:rPr>
            <w:rStyle w:val="Hiperpovezava"/>
            <w:sz w:val="22"/>
            <w:szCs w:val="22"/>
          </w:rPr>
          <w:t>https://doi.org/10.1016/j.hrmr.2013.05.002</w:t>
        </w:r>
      </w:hyperlink>
    </w:p>
    <w:p w14:paraId="04D30CED" w14:textId="77777777" w:rsidR="00791D7C" w:rsidRPr="00791D7C" w:rsidRDefault="00791D7C" w:rsidP="00DA2EFE">
      <w:pPr>
        <w:spacing w:line="278" w:lineRule="auto"/>
        <w:ind w:left="709" w:hanging="709"/>
        <w:jc w:val="both"/>
        <w:rPr>
          <w:sz w:val="22"/>
          <w:szCs w:val="22"/>
        </w:rPr>
      </w:pPr>
      <w:r w:rsidRPr="00791D7C">
        <w:rPr>
          <w:sz w:val="22"/>
          <w:szCs w:val="22"/>
        </w:rPr>
        <w:t xml:space="preserve">Ghosh, R. in Reio, T. G., Jr. (2013). Career benefits associated with mentoring for mentors: A meta-analysis. </w:t>
      </w:r>
      <w:r w:rsidRPr="00791D7C">
        <w:rPr>
          <w:i/>
          <w:iCs/>
          <w:sz w:val="22"/>
          <w:szCs w:val="22"/>
        </w:rPr>
        <w:t>Journal of Vocational Behavior, 83</w:t>
      </w:r>
      <w:r w:rsidRPr="00791D7C">
        <w:rPr>
          <w:sz w:val="22"/>
          <w:szCs w:val="22"/>
        </w:rPr>
        <w:t xml:space="preserve">(1), 106–116. </w:t>
      </w:r>
      <w:hyperlink r:id="rId21" w:tgtFrame="_new" w:history="1">
        <w:r w:rsidRPr="00791D7C">
          <w:rPr>
            <w:rStyle w:val="Hiperpovezava"/>
            <w:sz w:val="22"/>
            <w:szCs w:val="22"/>
          </w:rPr>
          <w:t>https://doi.org/10.1016/j.jvb.2013.03.011</w:t>
        </w:r>
      </w:hyperlink>
    </w:p>
    <w:p w14:paraId="2FA3954C" w14:textId="77777777" w:rsidR="00791D7C" w:rsidRPr="00791D7C" w:rsidRDefault="00791D7C" w:rsidP="00DA2EFE">
      <w:pPr>
        <w:spacing w:line="278" w:lineRule="auto"/>
        <w:ind w:left="709" w:hanging="709"/>
        <w:jc w:val="both"/>
        <w:rPr>
          <w:sz w:val="22"/>
          <w:szCs w:val="22"/>
        </w:rPr>
      </w:pPr>
      <w:r w:rsidRPr="00791D7C">
        <w:rPr>
          <w:sz w:val="22"/>
          <w:szCs w:val="22"/>
        </w:rPr>
        <w:t xml:space="preserve">Greenan, P. (2016). Personal development plans: Insights from a case based approach. </w:t>
      </w:r>
      <w:r w:rsidRPr="00791D7C">
        <w:rPr>
          <w:i/>
          <w:iCs/>
          <w:sz w:val="22"/>
          <w:szCs w:val="22"/>
        </w:rPr>
        <w:t>Journal of Workplace Learning, 28</w:t>
      </w:r>
      <w:r w:rsidRPr="00791D7C">
        <w:rPr>
          <w:sz w:val="22"/>
          <w:szCs w:val="22"/>
        </w:rPr>
        <w:t xml:space="preserve">(5), 322–334. </w:t>
      </w:r>
      <w:hyperlink r:id="rId22" w:tgtFrame="_new" w:history="1">
        <w:r w:rsidRPr="00791D7C">
          <w:rPr>
            <w:rStyle w:val="Hiperpovezava"/>
            <w:sz w:val="22"/>
            <w:szCs w:val="22"/>
          </w:rPr>
          <w:t>https://doi.org/10.1108/JWL-09-2015-0068</w:t>
        </w:r>
      </w:hyperlink>
    </w:p>
    <w:p w14:paraId="31A35D1A" w14:textId="77777777" w:rsidR="00791D7C" w:rsidRPr="00791D7C" w:rsidRDefault="00791D7C" w:rsidP="00DA2EFE">
      <w:pPr>
        <w:spacing w:line="278" w:lineRule="auto"/>
        <w:ind w:left="709" w:hanging="709"/>
        <w:jc w:val="both"/>
        <w:rPr>
          <w:sz w:val="22"/>
          <w:szCs w:val="22"/>
        </w:rPr>
      </w:pPr>
      <w:r w:rsidRPr="00791D7C">
        <w:rPr>
          <w:sz w:val="22"/>
          <w:szCs w:val="22"/>
        </w:rPr>
        <w:t xml:space="preserve">Groenewald, E. S., Groenewald, C. A., Kilag, O. K. T., Andrin, G. R., Pernites, M. J. F. in Macapaz, M. K. S. (2024). Talent management in the 21st century: A comprehensive review and prospects for innovation. </w:t>
      </w:r>
      <w:r w:rsidRPr="00791D7C">
        <w:rPr>
          <w:i/>
          <w:iCs/>
          <w:sz w:val="22"/>
          <w:szCs w:val="22"/>
        </w:rPr>
        <w:t>International Multidisciplinary Journal of Research for Innovation, Sustainability, and Excellence, 1</w:t>
      </w:r>
      <w:r w:rsidRPr="00791D7C">
        <w:rPr>
          <w:sz w:val="22"/>
          <w:szCs w:val="22"/>
        </w:rPr>
        <w:t xml:space="preserve">(3), 93–99. </w:t>
      </w:r>
      <w:hyperlink r:id="rId23" w:tgtFrame="_new" w:history="1">
        <w:r w:rsidRPr="00791D7C">
          <w:rPr>
            <w:rStyle w:val="Hiperpovezava"/>
            <w:sz w:val="22"/>
            <w:szCs w:val="22"/>
          </w:rPr>
          <w:t>https://www.researchgate.net/publication/378875287_Talent_Management_in_the_21st_Century_A_Comprehensive_Review_and_Prospects_for_Innovation</w:t>
        </w:r>
      </w:hyperlink>
    </w:p>
    <w:p w14:paraId="633775C6" w14:textId="77777777" w:rsidR="00791D7C" w:rsidRPr="00791D7C" w:rsidRDefault="00791D7C" w:rsidP="00DA2EFE">
      <w:pPr>
        <w:spacing w:line="278" w:lineRule="auto"/>
        <w:ind w:left="709" w:hanging="709"/>
        <w:jc w:val="both"/>
        <w:rPr>
          <w:sz w:val="22"/>
          <w:szCs w:val="22"/>
        </w:rPr>
      </w:pPr>
      <w:r w:rsidRPr="00791D7C">
        <w:rPr>
          <w:sz w:val="22"/>
          <w:szCs w:val="22"/>
        </w:rPr>
        <w:t xml:space="preserve">Grover, S. in Furnham, A. (2016). Coaching as a developmental intervention in organisations: A systematic review of its effectiveness and the mechanisms underlying it. </w:t>
      </w:r>
      <w:r w:rsidRPr="00791D7C">
        <w:rPr>
          <w:i/>
          <w:iCs/>
          <w:sz w:val="22"/>
          <w:szCs w:val="22"/>
        </w:rPr>
        <w:t>PLOS ONE, 11</w:t>
      </w:r>
      <w:r w:rsidRPr="00791D7C">
        <w:rPr>
          <w:sz w:val="22"/>
          <w:szCs w:val="22"/>
        </w:rPr>
        <w:t xml:space="preserve">(7), e0159137. </w:t>
      </w:r>
      <w:hyperlink r:id="rId24" w:tgtFrame="_new" w:history="1">
        <w:r w:rsidRPr="00791D7C">
          <w:rPr>
            <w:rStyle w:val="Hiperpovezava"/>
            <w:sz w:val="22"/>
            <w:szCs w:val="22"/>
          </w:rPr>
          <w:t>https://doi.org/10.1371/journal.pone.0159137</w:t>
        </w:r>
      </w:hyperlink>
    </w:p>
    <w:p w14:paraId="61AE2A22" w14:textId="77777777" w:rsidR="00791D7C" w:rsidRPr="00791D7C" w:rsidRDefault="00791D7C" w:rsidP="00DA2EFE">
      <w:pPr>
        <w:spacing w:line="278" w:lineRule="auto"/>
        <w:ind w:left="709" w:hanging="709"/>
        <w:jc w:val="both"/>
        <w:rPr>
          <w:sz w:val="22"/>
          <w:szCs w:val="22"/>
        </w:rPr>
      </w:pPr>
      <w:r w:rsidRPr="00791D7C">
        <w:rPr>
          <w:sz w:val="22"/>
          <w:szCs w:val="22"/>
        </w:rPr>
        <w:t xml:space="preserve">Hezlett, S. A. (2016). Enhancing experience-driven leadership development. </w:t>
      </w:r>
      <w:r w:rsidRPr="00791D7C">
        <w:rPr>
          <w:i/>
          <w:iCs/>
          <w:sz w:val="22"/>
          <w:szCs w:val="22"/>
        </w:rPr>
        <w:t>Advances in Developing Human Resources, 18</w:t>
      </w:r>
      <w:r w:rsidRPr="00791D7C">
        <w:rPr>
          <w:sz w:val="22"/>
          <w:szCs w:val="22"/>
        </w:rPr>
        <w:t xml:space="preserve">(3), 369–389. </w:t>
      </w:r>
      <w:hyperlink r:id="rId25" w:tgtFrame="_new" w:history="1">
        <w:r w:rsidRPr="00791D7C">
          <w:rPr>
            <w:rStyle w:val="Hiperpovezava"/>
            <w:sz w:val="22"/>
            <w:szCs w:val="22"/>
          </w:rPr>
          <w:t>https://doi.org/10.1177/1523422316645887</w:t>
        </w:r>
      </w:hyperlink>
    </w:p>
    <w:p w14:paraId="71934832" w14:textId="77777777" w:rsidR="00791D7C" w:rsidRPr="00791D7C" w:rsidRDefault="00791D7C" w:rsidP="00DA2EFE">
      <w:pPr>
        <w:spacing w:line="278" w:lineRule="auto"/>
        <w:ind w:left="709" w:hanging="709"/>
        <w:jc w:val="both"/>
        <w:rPr>
          <w:sz w:val="22"/>
          <w:szCs w:val="22"/>
        </w:rPr>
      </w:pPr>
      <w:r w:rsidRPr="00791D7C">
        <w:rPr>
          <w:sz w:val="22"/>
          <w:szCs w:val="22"/>
        </w:rPr>
        <w:t xml:space="preserve">Hughes, A. M., Zajac, S., Woods, A. L. in Salas, E. (2020). The role of work environment in training sustainment: A meta-analysis. </w:t>
      </w:r>
      <w:r w:rsidRPr="00791D7C">
        <w:rPr>
          <w:i/>
          <w:iCs/>
          <w:sz w:val="22"/>
          <w:szCs w:val="22"/>
        </w:rPr>
        <w:t>Human Factors, 62</w:t>
      </w:r>
      <w:r w:rsidRPr="00791D7C">
        <w:rPr>
          <w:sz w:val="22"/>
          <w:szCs w:val="22"/>
        </w:rPr>
        <w:t xml:space="preserve">(1), 166–183. </w:t>
      </w:r>
      <w:hyperlink r:id="rId26" w:tgtFrame="_new" w:history="1">
        <w:r w:rsidRPr="00791D7C">
          <w:rPr>
            <w:rStyle w:val="Hiperpovezava"/>
            <w:sz w:val="22"/>
            <w:szCs w:val="22"/>
          </w:rPr>
          <w:t>https://doi.org/10.1177/0018720819845988</w:t>
        </w:r>
      </w:hyperlink>
    </w:p>
    <w:p w14:paraId="3A458AF1" w14:textId="77777777" w:rsidR="00791D7C" w:rsidRPr="00791D7C" w:rsidRDefault="00791D7C" w:rsidP="00DA2EFE">
      <w:pPr>
        <w:spacing w:line="278" w:lineRule="auto"/>
        <w:ind w:left="709" w:hanging="709"/>
        <w:jc w:val="both"/>
        <w:rPr>
          <w:sz w:val="22"/>
          <w:szCs w:val="22"/>
        </w:rPr>
      </w:pPr>
      <w:r w:rsidRPr="00791D7C">
        <w:rPr>
          <w:sz w:val="22"/>
          <w:szCs w:val="22"/>
        </w:rPr>
        <w:lastRenderedPageBreak/>
        <w:t xml:space="preserve">Ivey, G. W., Dupré, K. E. in Solomon, K. A. (2022). Workplace mentorship: A critical review. </w:t>
      </w:r>
      <w:r w:rsidRPr="00791D7C">
        <w:rPr>
          <w:i/>
          <w:iCs/>
          <w:sz w:val="22"/>
          <w:szCs w:val="22"/>
        </w:rPr>
        <w:t>Journal of Career Development, 49</w:t>
      </w:r>
      <w:r w:rsidRPr="00791D7C">
        <w:rPr>
          <w:sz w:val="22"/>
          <w:szCs w:val="22"/>
        </w:rPr>
        <w:t xml:space="preserve">(3), 714–729. </w:t>
      </w:r>
      <w:hyperlink r:id="rId27" w:tgtFrame="_new" w:history="1">
        <w:r w:rsidRPr="00791D7C">
          <w:rPr>
            <w:rStyle w:val="Hiperpovezava"/>
            <w:sz w:val="22"/>
            <w:szCs w:val="22"/>
          </w:rPr>
          <w:t>https://doi.org/10.1177/0894845320957737</w:t>
        </w:r>
      </w:hyperlink>
    </w:p>
    <w:p w14:paraId="18F0253B" w14:textId="77777777" w:rsidR="00791D7C" w:rsidRPr="00791D7C" w:rsidRDefault="00791D7C" w:rsidP="00DA2EFE">
      <w:pPr>
        <w:spacing w:line="278" w:lineRule="auto"/>
        <w:ind w:left="709" w:hanging="709"/>
        <w:jc w:val="both"/>
        <w:rPr>
          <w:sz w:val="22"/>
          <w:szCs w:val="22"/>
        </w:rPr>
      </w:pPr>
      <w:r w:rsidRPr="00791D7C">
        <w:rPr>
          <w:sz w:val="22"/>
          <w:szCs w:val="22"/>
        </w:rPr>
        <w:t xml:space="preserve">Jooss, S., Burbach, R. in Ruël, H. (2021). Examining talent pools as a core talent management practice in multinational corporations. </w:t>
      </w:r>
      <w:r w:rsidRPr="00791D7C">
        <w:rPr>
          <w:i/>
          <w:iCs/>
          <w:sz w:val="22"/>
          <w:szCs w:val="22"/>
        </w:rPr>
        <w:t>The International Journal of Human Resource Management, 32</w:t>
      </w:r>
      <w:r w:rsidRPr="00791D7C">
        <w:rPr>
          <w:sz w:val="22"/>
          <w:szCs w:val="22"/>
        </w:rPr>
        <w:t xml:space="preserve">(11), 2321–2352. </w:t>
      </w:r>
      <w:hyperlink r:id="rId28" w:tgtFrame="_new" w:history="1">
        <w:r w:rsidRPr="00791D7C">
          <w:rPr>
            <w:rStyle w:val="Hiperpovezava"/>
            <w:sz w:val="22"/>
            <w:szCs w:val="22"/>
          </w:rPr>
          <w:t>https://doi.org/10.1080/09585192.2019.1579748</w:t>
        </w:r>
      </w:hyperlink>
    </w:p>
    <w:p w14:paraId="4FD10E91" w14:textId="77777777" w:rsidR="00791D7C" w:rsidRPr="00791D7C" w:rsidRDefault="00791D7C" w:rsidP="00DA2EFE">
      <w:pPr>
        <w:spacing w:line="278" w:lineRule="auto"/>
        <w:ind w:left="709" w:hanging="709"/>
        <w:jc w:val="both"/>
        <w:rPr>
          <w:sz w:val="22"/>
          <w:szCs w:val="22"/>
        </w:rPr>
      </w:pPr>
      <w:r w:rsidRPr="00791D7C">
        <w:rPr>
          <w:sz w:val="22"/>
          <w:szCs w:val="22"/>
        </w:rPr>
        <w:t xml:space="preserve">Lewis, R. E. in Heckman, R. J. (2006). Talent management: A critical review. </w:t>
      </w:r>
      <w:r w:rsidRPr="00791D7C">
        <w:rPr>
          <w:i/>
          <w:iCs/>
          <w:sz w:val="22"/>
          <w:szCs w:val="22"/>
        </w:rPr>
        <w:t>Human Resource Management Review, 16</w:t>
      </w:r>
      <w:r w:rsidRPr="00791D7C">
        <w:rPr>
          <w:sz w:val="22"/>
          <w:szCs w:val="22"/>
        </w:rPr>
        <w:t xml:space="preserve">(2), 139–154. </w:t>
      </w:r>
      <w:hyperlink r:id="rId29" w:tgtFrame="_new" w:history="1">
        <w:r w:rsidRPr="00791D7C">
          <w:rPr>
            <w:rStyle w:val="Hiperpovezava"/>
            <w:sz w:val="22"/>
            <w:szCs w:val="22"/>
          </w:rPr>
          <w:t>https://doi.org/10.1016/j.hrmr.2006.03.001</w:t>
        </w:r>
      </w:hyperlink>
    </w:p>
    <w:p w14:paraId="2228AB1E" w14:textId="77777777" w:rsidR="00791D7C" w:rsidRPr="00791D7C" w:rsidRDefault="00791D7C" w:rsidP="00DA2EFE">
      <w:pPr>
        <w:spacing w:line="278" w:lineRule="auto"/>
        <w:ind w:left="709" w:hanging="709"/>
        <w:jc w:val="both"/>
        <w:rPr>
          <w:sz w:val="22"/>
          <w:szCs w:val="22"/>
        </w:rPr>
      </w:pPr>
      <w:r w:rsidRPr="00791D7C">
        <w:rPr>
          <w:sz w:val="22"/>
          <w:szCs w:val="22"/>
        </w:rPr>
        <w:t xml:space="preserve">Locke, E. A. (1968). Toward a theory of task motivation and incentives. </w:t>
      </w:r>
      <w:r w:rsidRPr="00791D7C">
        <w:rPr>
          <w:i/>
          <w:iCs/>
          <w:sz w:val="22"/>
          <w:szCs w:val="22"/>
        </w:rPr>
        <w:t>Organizational Behavior and Human Performance, 3</w:t>
      </w:r>
      <w:r w:rsidRPr="00791D7C">
        <w:rPr>
          <w:sz w:val="22"/>
          <w:szCs w:val="22"/>
        </w:rPr>
        <w:t xml:space="preserve">(2), 157–189. </w:t>
      </w:r>
      <w:hyperlink r:id="rId30" w:tgtFrame="_new" w:history="1">
        <w:r w:rsidRPr="00791D7C">
          <w:rPr>
            <w:rStyle w:val="Hiperpovezava"/>
            <w:sz w:val="22"/>
            <w:szCs w:val="22"/>
          </w:rPr>
          <w:t>https://doi.org/10.1016/0030-5073(68)90004-4</w:t>
        </w:r>
      </w:hyperlink>
    </w:p>
    <w:p w14:paraId="76EE8EFF" w14:textId="5F9A6C64" w:rsidR="00C83556" w:rsidRDefault="00DA2EFE" w:rsidP="00C83556">
      <w:pPr>
        <w:spacing w:line="278" w:lineRule="auto"/>
        <w:ind w:left="709" w:hanging="709"/>
        <w:jc w:val="both"/>
        <w:rPr>
          <w:sz w:val="22"/>
          <w:szCs w:val="22"/>
        </w:rPr>
      </w:pPr>
      <w:r w:rsidRPr="00DA2EFE">
        <w:rPr>
          <w:sz w:val="22"/>
          <w:szCs w:val="22"/>
        </w:rPr>
        <w:t xml:space="preserve">Mäkelä, K., Björkman, I. in Ehrnrooth, M. (2010). How do MNCs establish their talent pools? Influences on individuals’ likelihood of being labeled as talent. </w:t>
      </w:r>
      <w:r w:rsidRPr="00DA2EFE">
        <w:rPr>
          <w:i/>
          <w:iCs/>
          <w:sz w:val="22"/>
          <w:szCs w:val="22"/>
        </w:rPr>
        <w:t>Journal of World Business, 45</w:t>
      </w:r>
      <w:r w:rsidRPr="00DA2EFE">
        <w:rPr>
          <w:sz w:val="22"/>
          <w:szCs w:val="22"/>
        </w:rPr>
        <w:t xml:space="preserve">(2), 134–142. </w:t>
      </w:r>
      <w:hyperlink r:id="rId31" w:history="1">
        <w:r w:rsidR="00C83556" w:rsidRPr="009A3B7C">
          <w:rPr>
            <w:rStyle w:val="Hiperpovezava"/>
            <w:sz w:val="22"/>
            <w:szCs w:val="22"/>
          </w:rPr>
          <w:t>https://doi.org/10.1016/j.jwb.2009.09.020</w:t>
        </w:r>
      </w:hyperlink>
    </w:p>
    <w:p w14:paraId="6C5531A3" w14:textId="3EDEA927" w:rsidR="00791D7C" w:rsidRPr="00791D7C" w:rsidRDefault="00791D7C" w:rsidP="00DA2EFE">
      <w:pPr>
        <w:spacing w:line="278" w:lineRule="auto"/>
        <w:ind w:left="709" w:hanging="709"/>
        <w:jc w:val="both"/>
        <w:rPr>
          <w:sz w:val="22"/>
          <w:szCs w:val="22"/>
        </w:rPr>
      </w:pPr>
      <w:r w:rsidRPr="00791D7C">
        <w:rPr>
          <w:sz w:val="22"/>
          <w:szCs w:val="22"/>
        </w:rPr>
        <w:t xml:space="preserve">Margeviča-Grinberga, I. in Kalēja, A. (2024). Job shadowing as a method in further education. </w:t>
      </w:r>
      <w:r w:rsidRPr="00791D7C">
        <w:rPr>
          <w:i/>
          <w:iCs/>
          <w:sz w:val="22"/>
          <w:szCs w:val="22"/>
        </w:rPr>
        <w:t>Society. Integration. Education. Proceedings of the International Scientific Conference, 2</w:t>
      </w:r>
      <w:r w:rsidRPr="00791D7C">
        <w:rPr>
          <w:sz w:val="22"/>
          <w:szCs w:val="22"/>
        </w:rPr>
        <w:t xml:space="preserve">, 213–223. </w:t>
      </w:r>
      <w:hyperlink r:id="rId32" w:tgtFrame="_new" w:history="1">
        <w:r w:rsidRPr="00791D7C">
          <w:rPr>
            <w:rStyle w:val="Hiperpovezava"/>
            <w:sz w:val="22"/>
            <w:szCs w:val="22"/>
          </w:rPr>
          <w:t>https://doi.org/10.17770/sie2024vol2.7916</w:t>
        </w:r>
      </w:hyperlink>
    </w:p>
    <w:p w14:paraId="1B5E31CE" w14:textId="77777777" w:rsidR="00791D7C" w:rsidRPr="00791D7C" w:rsidRDefault="00791D7C" w:rsidP="00DA2EFE">
      <w:pPr>
        <w:spacing w:line="278" w:lineRule="auto"/>
        <w:ind w:left="709" w:hanging="709"/>
        <w:jc w:val="both"/>
        <w:rPr>
          <w:sz w:val="22"/>
          <w:szCs w:val="22"/>
        </w:rPr>
      </w:pPr>
      <w:r w:rsidRPr="00791D7C">
        <w:rPr>
          <w:sz w:val="22"/>
          <w:szCs w:val="22"/>
        </w:rPr>
        <w:t xml:space="preserve">Margeviča-Grinberga, I. in Kalēja, A. (2025). Job shadowing adults' non-formal education programme through social-emotional learning. </w:t>
      </w:r>
      <w:r w:rsidRPr="00791D7C">
        <w:rPr>
          <w:i/>
          <w:iCs/>
          <w:sz w:val="22"/>
          <w:szCs w:val="22"/>
        </w:rPr>
        <w:t>Frontiers in Sociology, 10</w:t>
      </w:r>
      <w:r w:rsidRPr="00791D7C">
        <w:rPr>
          <w:sz w:val="22"/>
          <w:szCs w:val="22"/>
        </w:rPr>
        <w:t xml:space="preserve">, 1524922. </w:t>
      </w:r>
      <w:hyperlink r:id="rId33" w:tgtFrame="_new" w:history="1">
        <w:r w:rsidRPr="00791D7C">
          <w:rPr>
            <w:rStyle w:val="Hiperpovezava"/>
            <w:sz w:val="22"/>
            <w:szCs w:val="22"/>
          </w:rPr>
          <w:t>https://doi.org/10.3389/fsoc.2025.1524922</w:t>
        </w:r>
      </w:hyperlink>
    </w:p>
    <w:p w14:paraId="07A95B6B" w14:textId="77777777" w:rsidR="00791D7C" w:rsidRPr="00791D7C" w:rsidRDefault="00791D7C" w:rsidP="00DA2EFE">
      <w:pPr>
        <w:spacing w:line="278" w:lineRule="auto"/>
        <w:ind w:left="709" w:hanging="709"/>
        <w:jc w:val="both"/>
        <w:rPr>
          <w:sz w:val="22"/>
          <w:szCs w:val="22"/>
        </w:rPr>
      </w:pPr>
      <w:r w:rsidRPr="00791D7C">
        <w:rPr>
          <w:sz w:val="22"/>
          <w:szCs w:val="22"/>
        </w:rPr>
        <w:t xml:space="preserve">Martin, A. (2015). Talent management: Preparing a “ready” agile workforce. </w:t>
      </w:r>
      <w:r w:rsidRPr="00791D7C">
        <w:rPr>
          <w:i/>
          <w:iCs/>
          <w:sz w:val="22"/>
          <w:szCs w:val="22"/>
        </w:rPr>
        <w:t>International Journal of Pediatrics and Adolescent Medicine, 2</w:t>
      </w:r>
      <w:r w:rsidRPr="00791D7C">
        <w:rPr>
          <w:sz w:val="22"/>
          <w:szCs w:val="22"/>
        </w:rPr>
        <w:t xml:space="preserve">(3–4), 112–116. </w:t>
      </w:r>
      <w:hyperlink r:id="rId34" w:tgtFrame="_new" w:history="1">
        <w:r w:rsidRPr="00791D7C">
          <w:rPr>
            <w:rStyle w:val="Hiperpovezava"/>
            <w:sz w:val="22"/>
            <w:szCs w:val="22"/>
          </w:rPr>
          <w:t>https://doi.org/10.1016/j.ijpam.2015.10.002</w:t>
        </w:r>
      </w:hyperlink>
    </w:p>
    <w:p w14:paraId="0724D877" w14:textId="77777777" w:rsidR="00791D7C" w:rsidRPr="00791D7C" w:rsidRDefault="00791D7C" w:rsidP="00DA2EFE">
      <w:pPr>
        <w:spacing w:line="278" w:lineRule="auto"/>
        <w:ind w:left="709" w:hanging="709"/>
        <w:jc w:val="both"/>
        <w:rPr>
          <w:sz w:val="22"/>
          <w:szCs w:val="22"/>
        </w:rPr>
      </w:pPr>
      <w:r w:rsidRPr="00791D7C">
        <w:rPr>
          <w:sz w:val="22"/>
          <w:szCs w:val="22"/>
        </w:rPr>
        <w:t xml:space="preserve">McCauley, C. D., Eastman, L. J. in Ohlott, P. J. (1995). Linking management selection and development through stretch assignments. </w:t>
      </w:r>
      <w:r w:rsidRPr="00791D7C">
        <w:rPr>
          <w:i/>
          <w:iCs/>
          <w:sz w:val="22"/>
          <w:szCs w:val="22"/>
        </w:rPr>
        <w:t>Human Resource Management, 34</w:t>
      </w:r>
      <w:r w:rsidRPr="00791D7C">
        <w:rPr>
          <w:sz w:val="22"/>
          <w:szCs w:val="22"/>
        </w:rPr>
        <w:t xml:space="preserve">(1), 93–115. </w:t>
      </w:r>
      <w:hyperlink r:id="rId35" w:tgtFrame="_new" w:history="1">
        <w:r w:rsidRPr="00791D7C">
          <w:rPr>
            <w:rStyle w:val="Hiperpovezava"/>
            <w:sz w:val="22"/>
            <w:szCs w:val="22"/>
          </w:rPr>
          <w:t>https://doi.org/10.1002/hrm.3930340107</w:t>
        </w:r>
      </w:hyperlink>
    </w:p>
    <w:p w14:paraId="2B90F060" w14:textId="77777777" w:rsidR="00791D7C" w:rsidRPr="00791D7C" w:rsidRDefault="00791D7C" w:rsidP="00DA2EFE">
      <w:pPr>
        <w:spacing w:line="278" w:lineRule="auto"/>
        <w:ind w:left="709" w:hanging="709"/>
        <w:jc w:val="both"/>
        <w:rPr>
          <w:sz w:val="22"/>
          <w:szCs w:val="22"/>
        </w:rPr>
      </w:pPr>
      <w:r w:rsidRPr="00791D7C">
        <w:rPr>
          <w:sz w:val="22"/>
          <w:szCs w:val="22"/>
        </w:rPr>
        <w:t xml:space="preserve">Mlekus, L. in Maier, G. W. (2021). More hype than substance? A meta-analysis on job and task rotation. </w:t>
      </w:r>
      <w:r w:rsidRPr="00791D7C">
        <w:rPr>
          <w:i/>
          <w:iCs/>
          <w:sz w:val="22"/>
          <w:szCs w:val="22"/>
        </w:rPr>
        <w:t>Frontiers in Psychology, 12</w:t>
      </w:r>
      <w:r w:rsidRPr="00791D7C">
        <w:rPr>
          <w:sz w:val="22"/>
          <w:szCs w:val="22"/>
        </w:rPr>
        <w:t xml:space="preserve">, 633530. </w:t>
      </w:r>
      <w:hyperlink r:id="rId36" w:tgtFrame="_new" w:history="1">
        <w:r w:rsidRPr="00791D7C">
          <w:rPr>
            <w:rStyle w:val="Hiperpovezava"/>
            <w:sz w:val="22"/>
            <w:szCs w:val="22"/>
          </w:rPr>
          <w:t>https://doi.org/10.3389/fpsyg.2021.633530</w:t>
        </w:r>
      </w:hyperlink>
    </w:p>
    <w:p w14:paraId="72624D9E" w14:textId="77777777" w:rsidR="00791D7C" w:rsidRPr="00791D7C" w:rsidRDefault="00791D7C" w:rsidP="00DA2EFE">
      <w:pPr>
        <w:spacing w:line="278" w:lineRule="auto"/>
        <w:ind w:left="709" w:hanging="709"/>
        <w:jc w:val="both"/>
        <w:rPr>
          <w:sz w:val="22"/>
          <w:szCs w:val="22"/>
        </w:rPr>
      </w:pPr>
      <w:r w:rsidRPr="00791D7C">
        <w:rPr>
          <w:sz w:val="22"/>
          <w:szCs w:val="22"/>
        </w:rPr>
        <w:t xml:space="preserve">Momand, A. (2023). Advancing talent management: A comprehensive review and critical analysis. </w:t>
      </w:r>
      <w:r w:rsidRPr="00791D7C">
        <w:rPr>
          <w:i/>
          <w:iCs/>
          <w:sz w:val="22"/>
          <w:szCs w:val="22"/>
        </w:rPr>
        <w:t>Kardan Journal of Economics and Management Sciences, 6</w:t>
      </w:r>
      <w:r w:rsidRPr="00791D7C">
        <w:rPr>
          <w:sz w:val="22"/>
          <w:szCs w:val="22"/>
        </w:rPr>
        <w:t xml:space="preserve">(4), 1–16. </w:t>
      </w:r>
      <w:hyperlink r:id="rId37" w:tgtFrame="_new" w:history="1">
        <w:r w:rsidRPr="00791D7C">
          <w:rPr>
            <w:rStyle w:val="Hiperpovezava"/>
            <w:sz w:val="22"/>
            <w:szCs w:val="22"/>
          </w:rPr>
          <w:t>https://doi.org/10.31841/KJEMS.2023.149</w:t>
        </w:r>
      </w:hyperlink>
    </w:p>
    <w:p w14:paraId="40488FD3" w14:textId="77777777" w:rsidR="00791D7C" w:rsidRPr="00791D7C" w:rsidRDefault="00791D7C" w:rsidP="00DA2EFE">
      <w:pPr>
        <w:spacing w:line="278" w:lineRule="auto"/>
        <w:ind w:left="709" w:hanging="709"/>
        <w:jc w:val="both"/>
        <w:rPr>
          <w:sz w:val="22"/>
          <w:szCs w:val="22"/>
        </w:rPr>
      </w:pPr>
      <w:r w:rsidRPr="00791D7C">
        <w:rPr>
          <w:sz w:val="22"/>
          <w:szCs w:val="22"/>
        </w:rPr>
        <w:t xml:space="preserve">Muda, M. H. in Ismail, M. (2022). Talent pool: A bibliometric analysis of the literature. </w:t>
      </w:r>
      <w:r w:rsidRPr="00791D7C">
        <w:rPr>
          <w:i/>
          <w:iCs/>
          <w:sz w:val="22"/>
          <w:szCs w:val="22"/>
        </w:rPr>
        <w:t>Global Business and Management Research: An International Journal, 14</w:t>
      </w:r>
      <w:r w:rsidRPr="00791D7C">
        <w:rPr>
          <w:sz w:val="22"/>
          <w:szCs w:val="22"/>
        </w:rPr>
        <w:t xml:space="preserve">(3s), 819–830. </w:t>
      </w:r>
      <w:hyperlink r:id="rId38" w:tgtFrame="_new" w:history="1">
        <w:r w:rsidRPr="00791D7C">
          <w:rPr>
            <w:rStyle w:val="Hiperpovezava"/>
            <w:sz w:val="22"/>
            <w:szCs w:val="22"/>
          </w:rPr>
          <w:t>https://www.gbmrjournal.com/pdf/v14n3s/V14N3s-57.pdf</w:t>
        </w:r>
      </w:hyperlink>
    </w:p>
    <w:p w14:paraId="3AC25B02" w14:textId="77777777" w:rsidR="00791D7C" w:rsidRDefault="00791D7C" w:rsidP="00DA2EFE">
      <w:pPr>
        <w:spacing w:line="278" w:lineRule="auto"/>
        <w:ind w:left="709" w:hanging="709"/>
        <w:jc w:val="both"/>
      </w:pPr>
      <w:r w:rsidRPr="00791D7C">
        <w:rPr>
          <w:sz w:val="22"/>
          <w:szCs w:val="22"/>
        </w:rPr>
        <w:t xml:space="preserve">Pandey, S. in Sharma, D. (2014). Succession planning practices and challenges: Study of Indian organisations. </w:t>
      </w:r>
      <w:r w:rsidRPr="00791D7C">
        <w:rPr>
          <w:i/>
          <w:iCs/>
          <w:sz w:val="22"/>
          <w:szCs w:val="22"/>
        </w:rPr>
        <w:t>Procedia Economics and Finance, 11</w:t>
      </w:r>
      <w:r w:rsidRPr="00791D7C">
        <w:rPr>
          <w:sz w:val="22"/>
          <w:szCs w:val="22"/>
        </w:rPr>
        <w:t xml:space="preserve">, 152–165. </w:t>
      </w:r>
      <w:hyperlink r:id="rId39" w:tgtFrame="_new" w:history="1">
        <w:r w:rsidRPr="00791D7C">
          <w:rPr>
            <w:rStyle w:val="Hiperpovezava"/>
            <w:sz w:val="22"/>
            <w:szCs w:val="22"/>
          </w:rPr>
          <w:t>https://doi.org/10.1016/S2212-5671(14)00185-3</w:t>
        </w:r>
      </w:hyperlink>
    </w:p>
    <w:p w14:paraId="4379C13B" w14:textId="4F8F5FBB" w:rsidR="008473E5" w:rsidRPr="00791D7C" w:rsidRDefault="008473E5" w:rsidP="00DA2EFE">
      <w:pPr>
        <w:spacing w:line="278" w:lineRule="auto"/>
        <w:ind w:left="709" w:hanging="709"/>
        <w:jc w:val="both"/>
        <w:rPr>
          <w:sz w:val="22"/>
          <w:szCs w:val="22"/>
        </w:rPr>
      </w:pPr>
      <w:r w:rsidRPr="008473E5">
        <w:rPr>
          <w:sz w:val="22"/>
          <w:szCs w:val="22"/>
        </w:rPr>
        <w:t xml:space="preserve">Pfeifer, C. (2010). Determinants of promotions in an internal labour market. </w:t>
      </w:r>
      <w:r w:rsidRPr="008473E5">
        <w:rPr>
          <w:i/>
          <w:iCs/>
          <w:sz w:val="22"/>
          <w:szCs w:val="22"/>
        </w:rPr>
        <w:t>Schmalenbach Business Review, 62</w:t>
      </w:r>
      <w:r w:rsidRPr="008473E5">
        <w:rPr>
          <w:sz w:val="22"/>
          <w:szCs w:val="22"/>
        </w:rPr>
        <w:t xml:space="preserve">(4), 342–358. </w:t>
      </w:r>
      <w:hyperlink r:id="rId40" w:tgtFrame="_new" w:history="1">
        <w:r w:rsidRPr="008473E5">
          <w:rPr>
            <w:rStyle w:val="Hiperpovezava"/>
            <w:sz w:val="22"/>
            <w:szCs w:val="22"/>
          </w:rPr>
          <w:t>https://doi.org/10.1007/BF03396810</w:t>
        </w:r>
      </w:hyperlink>
    </w:p>
    <w:p w14:paraId="7AD0222E" w14:textId="558988EC" w:rsidR="002A1404" w:rsidRDefault="00791D7C" w:rsidP="008F3BC9">
      <w:pPr>
        <w:spacing w:line="240" w:lineRule="auto"/>
        <w:ind w:left="709" w:hanging="709"/>
        <w:jc w:val="both"/>
        <w:rPr>
          <w:sz w:val="22"/>
          <w:szCs w:val="22"/>
        </w:rPr>
      </w:pPr>
      <w:r w:rsidRPr="00791D7C">
        <w:rPr>
          <w:sz w:val="22"/>
          <w:szCs w:val="22"/>
        </w:rPr>
        <w:lastRenderedPageBreak/>
        <w:t xml:space="preserve">Pulakos, E. D. (2005). </w:t>
      </w:r>
      <w:r w:rsidRPr="00791D7C">
        <w:rPr>
          <w:i/>
          <w:iCs/>
          <w:sz w:val="22"/>
          <w:szCs w:val="22"/>
        </w:rPr>
        <w:t>Selection assessment methods: A guide to implementing formal assessments to build a high-quality workforce</w:t>
      </w:r>
      <w:r w:rsidRPr="00791D7C">
        <w:rPr>
          <w:sz w:val="22"/>
          <w:szCs w:val="22"/>
        </w:rPr>
        <w:t>. SHRM Foundation.</w:t>
      </w:r>
      <w:r w:rsidR="002A1404">
        <w:rPr>
          <w:sz w:val="22"/>
          <w:szCs w:val="22"/>
        </w:rPr>
        <w:t xml:space="preserve"> </w:t>
      </w:r>
      <w:hyperlink r:id="rId41" w:history="1">
        <w:r w:rsidR="002A1404" w:rsidRPr="009A3B7C">
          <w:rPr>
            <w:rStyle w:val="Hiperpovezava"/>
            <w:sz w:val="22"/>
            <w:szCs w:val="22"/>
          </w:rPr>
          <w:t>https://www.shrm.org/content/dam/en/shrm/topics-tools/news/hr-magazine/assessment_methods.pdf</w:t>
        </w:r>
      </w:hyperlink>
    </w:p>
    <w:p w14:paraId="0B38D875" w14:textId="064873E8" w:rsidR="00791D7C" w:rsidRPr="00791D7C" w:rsidRDefault="008F3BC9" w:rsidP="008F3BC9">
      <w:pPr>
        <w:spacing w:line="240" w:lineRule="auto"/>
        <w:ind w:hanging="709"/>
        <w:jc w:val="both"/>
        <w:rPr>
          <w:sz w:val="22"/>
          <w:szCs w:val="22"/>
        </w:rPr>
      </w:pPr>
      <w:r>
        <w:rPr>
          <w:sz w:val="22"/>
          <w:szCs w:val="22"/>
        </w:rPr>
        <w:t xml:space="preserve">                </w:t>
      </w:r>
      <w:r w:rsidR="00791D7C" w:rsidRPr="00791D7C">
        <w:rPr>
          <w:sz w:val="22"/>
          <w:szCs w:val="22"/>
        </w:rPr>
        <w:t xml:space="preserve">Roša, A. in Lace, N. (2021). Assessment of the impact of coaching on a company’s performance: A review of methods. </w:t>
      </w:r>
      <w:r w:rsidR="00791D7C" w:rsidRPr="00791D7C">
        <w:rPr>
          <w:i/>
          <w:iCs/>
          <w:sz w:val="22"/>
          <w:szCs w:val="22"/>
        </w:rPr>
        <w:t>Journal of Open Innovation: Technology, Market, and Complexity, 7</w:t>
      </w:r>
      <w:r w:rsidR="00791D7C" w:rsidRPr="00791D7C">
        <w:rPr>
          <w:sz w:val="22"/>
          <w:szCs w:val="22"/>
        </w:rPr>
        <w:t xml:space="preserve">(4), 233. </w:t>
      </w:r>
      <w:hyperlink r:id="rId42" w:tgtFrame="_new" w:history="1">
        <w:r w:rsidR="00791D7C" w:rsidRPr="00791D7C">
          <w:rPr>
            <w:rStyle w:val="Hiperpovezava"/>
            <w:sz w:val="22"/>
            <w:szCs w:val="22"/>
          </w:rPr>
          <w:t>https://doi.org/10.3390/joitmc7040233</w:t>
        </w:r>
      </w:hyperlink>
    </w:p>
    <w:p w14:paraId="1ED4AD63" w14:textId="77777777" w:rsidR="00791D7C" w:rsidRPr="00791D7C" w:rsidRDefault="00791D7C" w:rsidP="00DA2EFE">
      <w:pPr>
        <w:spacing w:line="278" w:lineRule="auto"/>
        <w:ind w:left="709" w:hanging="709"/>
        <w:jc w:val="both"/>
        <w:rPr>
          <w:sz w:val="22"/>
          <w:szCs w:val="22"/>
        </w:rPr>
      </w:pPr>
      <w:r w:rsidRPr="00791D7C">
        <w:rPr>
          <w:sz w:val="22"/>
          <w:szCs w:val="22"/>
        </w:rPr>
        <w:t xml:space="preserve">Smither, J. W., London, M. in Reilly, R. R. (2005). Does performance improve following multisource feedback? A theoretical model, meta-analysis, and review of empirical findings. </w:t>
      </w:r>
      <w:r w:rsidRPr="00791D7C">
        <w:rPr>
          <w:i/>
          <w:iCs/>
          <w:sz w:val="22"/>
          <w:szCs w:val="22"/>
        </w:rPr>
        <w:t>Personnel Psychology, 58</w:t>
      </w:r>
      <w:r w:rsidRPr="00791D7C">
        <w:rPr>
          <w:sz w:val="22"/>
          <w:szCs w:val="22"/>
        </w:rPr>
        <w:t xml:space="preserve">(1), 33–66. </w:t>
      </w:r>
      <w:hyperlink r:id="rId43" w:tgtFrame="_new" w:history="1">
        <w:r w:rsidRPr="00791D7C">
          <w:rPr>
            <w:rStyle w:val="Hiperpovezava"/>
            <w:sz w:val="22"/>
            <w:szCs w:val="22"/>
          </w:rPr>
          <w:t>https://doi.org/10.1111/j.1744-6570.2005.514_1.x</w:t>
        </w:r>
      </w:hyperlink>
    </w:p>
    <w:p w14:paraId="600C813C" w14:textId="77777777" w:rsidR="00791D7C" w:rsidRPr="00791D7C" w:rsidRDefault="00791D7C" w:rsidP="00DA2EFE">
      <w:pPr>
        <w:spacing w:line="278" w:lineRule="auto"/>
        <w:ind w:left="709" w:hanging="709"/>
        <w:jc w:val="both"/>
        <w:rPr>
          <w:sz w:val="22"/>
          <w:szCs w:val="22"/>
        </w:rPr>
      </w:pPr>
      <w:r w:rsidRPr="00791D7C">
        <w:rPr>
          <w:sz w:val="22"/>
          <w:szCs w:val="22"/>
        </w:rPr>
        <w:t xml:space="preserve">Theeboom, T., Beersma, B. in van Vianen, A. E. M. (2014). Does coaching work? A meta-analysis on the effects of coaching on individual level outcomes in an organizational context. </w:t>
      </w:r>
      <w:r w:rsidRPr="00791D7C">
        <w:rPr>
          <w:i/>
          <w:iCs/>
          <w:sz w:val="22"/>
          <w:szCs w:val="22"/>
        </w:rPr>
        <w:t>The Journal of Positive Psychology, 9</w:t>
      </w:r>
      <w:r w:rsidRPr="00791D7C">
        <w:rPr>
          <w:sz w:val="22"/>
          <w:szCs w:val="22"/>
        </w:rPr>
        <w:t xml:space="preserve">(1), 1–18. </w:t>
      </w:r>
      <w:hyperlink r:id="rId44" w:tgtFrame="_new" w:history="1">
        <w:r w:rsidRPr="00791D7C">
          <w:rPr>
            <w:rStyle w:val="Hiperpovezava"/>
            <w:sz w:val="22"/>
            <w:szCs w:val="22"/>
          </w:rPr>
          <w:t>https://doi.org/10.1080/17439760.2013.837499</w:t>
        </w:r>
      </w:hyperlink>
    </w:p>
    <w:p w14:paraId="5AC6C592" w14:textId="77777777" w:rsidR="00791D7C" w:rsidRPr="00791D7C" w:rsidRDefault="00791D7C" w:rsidP="00DA2EFE">
      <w:pPr>
        <w:spacing w:line="278" w:lineRule="auto"/>
        <w:ind w:left="709" w:hanging="709"/>
        <w:jc w:val="both"/>
        <w:rPr>
          <w:sz w:val="22"/>
          <w:szCs w:val="22"/>
        </w:rPr>
      </w:pPr>
      <w:r w:rsidRPr="00791D7C">
        <w:rPr>
          <w:sz w:val="22"/>
          <w:szCs w:val="22"/>
        </w:rPr>
        <w:t xml:space="preserve">Yamnill, S. in McLean, G. N. (2001). Theories supporting transfer of training. </w:t>
      </w:r>
      <w:r w:rsidRPr="00791D7C">
        <w:rPr>
          <w:i/>
          <w:iCs/>
          <w:sz w:val="22"/>
          <w:szCs w:val="22"/>
        </w:rPr>
        <w:t>Human Resource Development Quarterly, 12</w:t>
      </w:r>
      <w:r w:rsidRPr="00791D7C">
        <w:rPr>
          <w:sz w:val="22"/>
          <w:szCs w:val="22"/>
        </w:rPr>
        <w:t xml:space="preserve">(2), 195–208. </w:t>
      </w:r>
      <w:hyperlink r:id="rId45" w:tgtFrame="_new" w:history="1">
        <w:r w:rsidRPr="00791D7C">
          <w:rPr>
            <w:rStyle w:val="Hiperpovezava"/>
            <w:sz w:val="22"/>
            <w:szCs w:val="22"/>
          </w:rPr>
          <w:t>https://doi.org/10.1002/hrdq.7</w:t>
        </w:r>
      </w:hyperlink>
    </w:p>
    <w:p w14:paraId="169645A9" w14:textId="77777777" w:rsidR="00791D7C" w:rsidRPr="00791D7C" w:rsidRDefault="00791D7C" w:rsidP="00DA2EFE">
      <w:pPr>
        <w:spacing w:line="278" w:lineRule="auto"/>
        <w:ind w:left="709" w:hanging="709"/>
        <w:jc w:val="both"/>
        <w:rPr>
          <w:sz w:val="22"/>
          <w:szCs w:val="22"/>
        </w:rPr>
      </w:pPr>
      <w:r w:rsidRPr="00791D7C">
        <w:rPr>
          <w:sz w:val="22"/>
          <w:szCs w:val="22"/>
        </w:rPr>
        <w:t xml:space="preserve">Yarnall, J. (2011). Maximising the effectiveness of talent pools: A review of case study literature. </w:t>
      </w:r>
      <w:r w:rsidRPr="00791D7C">
        <w:rPr>
          <w:i/>
          <w:iCs/>
          <w:sz w:val="22"/>
          <w:szCs w:val="22"/>
        </w:rPr>
        <w:t>Leadership &amp; Organization Development Journal, 32</w:t>
      </w:r>
      <w:r w:rsidRPr="00791D7C">
        <w:rPr>
          <w:sz w:val="22"/>
          <w:szCs w:val="22"/>
        </w:rPr>
        <w:t xml:space="preserve">(5), 510–526. </w:t>
      </w:r>
      <w:hyperlink r:id="rId46" w:tgtFrame="_new" w:history="1">
        <w:r w:rsidRPr="00791D7C">
          <w:rPr>
            <w:rStyle w:val="Hiperpovezava"/>
            <w:sz w:val="22"/>
            <w:szCs w:val="22"/>
          </w:rPr>
          <w:t>https://doi.org/10.1108/01437731111146596</w:t>
        </w:r>
      </w:hyperlink>
    </w:p>
    <w:p w14:paraId="44EE8D64" w14:textId="3BF87B74" w:rsidR="00B116FD" w:rsidRPr="00F96048" w:rsidRDefault="00B116FD" w:rsidP="00DA2EFE">
      <w:pPr>
        <w:spacing w:line="278" w:lineRule="auto"/>
        <w:ind w:left="709" w:hanging="709"/>
        <w:jc w:val="both"/>
        <w:rPr>
          <w:sz w:val="22"/>
          <w:szCs w:val="22"/>
        </w:rPr>
      </w:pPr>
    </w:p>
    <w:sectPr w:rsidR="00B116FD" w:rsidRPr="00F960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D3470F"/>
    <w:multiLevelType w:val="hybridMultilevel"/>
    <w:tmpl w:val="FFFFFFFF"/>
    <w:lvl w:ilvl="0" w:tplc="43A0BD48">
      <w:start w:val="1"/>
      <w:numFmt w:val="bullet"/>
      <w:lvlText w:val=""/>
      <w:lvlJc w:val="left"/>
      <w:pPr>
        <w:ind w:left="720" w:hanging="360"/>
      </w:pPr>
      <w:rPr>
        <w:rFonts w:ascii="Symbol" w:hAnsi="Symbol" w:hint="default"/>
      </w:rPr>
    </w:lvl>
    <w:lvl w:ilvl="1" w:tplc="FA8A15F4">
      <w:start w:val="1"/>
      <w:numFmt w:val="bullet"/>
      <w:lvlText w:val="o"/>
      <w:lvlJc w:val="left"/>
      <w:pPr>
        <w:ind w:left="1440" w:hanging="360"/>
      </w:pPr>
      <w:rPr>
        <w:rFonts w:ascii="Courier New" w:hAnsi="Courier New" w:hint="default"/>
      </w:rPr>
    </w:lvl>
    <w:lvl w:ilvl="2" w:tplc="B0F2D8FA">
      <w:start w:val="1"/>
      <w:numFmt w:val="bullet"/>
      <w:lvlText w:val=""/>
      <w:lvlJc w:val="left"/>
      <w:pPr>
        <w:ind w:left="2160" w:hanging="360"/>
      </w:pPr>
      <w:rPr>
        <w:rFonts w:ascii="Wingdings" w:hAnsi="Wingdings" w:hint="default"/>
      </w:rPr>
    </w:lvl>
    <w:lvl w:ilvl="3" w:tplc="74C0503A">
      <w:start w:val="1"/>
      <w:numFmt w:val="bullet"/>
      <w:lvlText w:val=""/>
      <w:lvlJc w:val="left"/>
      <w:pPr>
        <w:ind w:left="2880" w:hanging="360"/>
      </w:pPr>
      <w:rPr>
        <w:rFonts w:ascii="Symbol" w:hAnsi="Symbol" w:hint="default"/>
      </w:rPr>
    </w:lvl>
    <w:lvl w:ilvl="4" w:tplc="21BA62A6">
      <w:start w:val="1"/>
      <w:numFmt w:val="bullet"/>
      <w:lvlText w:val="o"/>
      <w:lvlJc w:val="left"/>
      <w:pPr>
        <w:ind w:left="3600" w:hanging="360"/>
      </w:pPr>
      <w:rPr>
        <w:rFonts w:ascii="Courier New" w:hAnsi="Courier New" w:hint="default"/>
      </w:rPr>
    </w:lvl>
    <w:lvl w:ilvl="5" w:tplc="E58227B2">
      <w:start w:val="1"/>
      <w:numFmt w:val="bullet"/>
      <w:lvlText w:val=""/>
      <w:lvlJc w:val="left"/>
      <w:pPr>
        <w:ind w:left="4320" w:hanging="360"/>
      </w:pPr>
      <w:rPr>
        <w:rFonts w:ascii="Wingdings" w:hAnsi="Wingdings" w:hint="default"/>
      </w:rPr>
    </w:lvl>
    <w:lvl w:ilvl="6" w:tplc="3AD0AC3A">
      <w:start w:val="1"/>
      <w:numFmt w:val="bullet"/>
      <w:lvlText w:val=""/>
      <w:lvlJc w:val="left"/>
      <w:pPr>
        <w:ind w:left="5040" w:hanging="360"/>
      </w:pPr>
      <w:rPr>
        <w:rFonts w:ascii="Symbol" w:hAnsi="Symbol" w:hint="default"/>
      </w:rPr>
    </w:lvl>
    <w:lvl w:ilvl="7" w:tplc="AFFE2A34">
      <w:start w:val="1"/>
      <w:numFmt w:val="bullet"/>
      <w:lvlText w:val="o"/>
      <w:lvlJc w:val="left"/>
      <w:pPr>
        <w:ind w:left="5760" w:hanging="360"/>
      </w:pPr>
      <w:rPr>
        <w:rFonts w:ascii="Courier New" w:hAnsi="Courier New" w:hint="default"/>
      </w:rPr>
    </w:lvl>
    <w:lvl w:ilvl="8" w:tplc="6FB015E8">
      <w:start w:val="1"/>
      <w:numFmt w:val="bullet"/>
      <w:lvlText w:val=""/>
      <w:lvlJc w:val="left"/>
      <w:pPr>
        <w:ind w:left="6480" w:hanging="360"/>
      </w:pPr>
      <w:rPr>
        <w:rFonts w:ascii="Wingdings" w:hAnsi="Wingdings" w:hint="default"/>
      </w:rPr>
    </w:lvl>
  </w:abstractNum>
  <w:num w:numId="1" w16cid:durableId="1485660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CE28CA"/>
    <w:rsid w:val="000002FF"/>
    <w:rsid w:val="00043427"/>
    <w:rsid w:val="00046B5E"/>
    <w:rsid w:val="0004716E"/>
    <w:rsid w:val="0005636B"/>
    <w:rsid w:val="00063673"/>
    <w:rsid w:val="00063CB7"/>
    <w:rsid w:val="00083238"/>
    <w:rsid w:val="0009272B"/>
    <w:rsid w:val="000A1013"/>
    <w:rsid w:val="000E1528"/>
    <w:rsid w:val="000F0160"/>
    <w:rsid w:val="000F0491"/>
    <w:rsid w:val="000F1287"/>
    <w:rsid w:val="000F5456"/>
    <w:rsid w:val="0010720C"/>
    <w:rsid w:val="0011022F"/>
    <w:rsid w:val="00117EFE"/>
    <w:rsid w:val="00141A25"/>
    <w:rsid w:val="00145EDE"/>
    <w:rsid w:val="001701EE"/>
    <w:rsid w:val="001712C4"/>
    <w:rsid w:val="00191B2D"/>
    <w:rsid w:val="001C385D"/>
    <w:rsid w:val="0022333E"/>
    <w:rsid w:val="0026437D"/>
    <w:rsid w:val="002716AC"/>
    <w:rsid w:val="00285536"/>
    <w:rsid w:val="002A1404"/>
    <w:rsid w:val="002C0D85"/>
    <w:rsid w:val="002F250D"/>
    <w:rsid w:val="003017D7"/>
    <w:rsid w:val="00302E80"/>
    <w:rsid w:val="0030483D"/>
    <w:rsid w:val="00317BF4"/>
    <w:rsid w:val="0032593B"/>
    <w:rsid w:val="00331A43"/>
    <w:rsid w:val="00365A9F"/>
    <w:rsid w:val="00374E44"/>
    <w:rsid w:val="003936D1"/>
    <w:rsid w:val="003C2796"/>
    <w:rsid w:val="003D48D6"/>
    <w:rsid w:val="003E13E5"/>
    <w:rsid w:val="003F7500"/>
    <w:rsid w:val="0040118D"/>
    <w:rsid w:val="0040683A"/>
    <w:rsid w:val="004235FD"/>
    <w:rsid w:val="0043776F"/>
    <w:rsid w:val="004412F5"/>
    <w:rsid w:val="0044532C"/>
    <w:rsid w:val="0045B84B"/>
    <w:rsid w:val="004656BC"/>
    <w:rsid w:val="00474E1E"/>
    <w:rsid w:val="0048475A"/>
    <w:rsid w:val="00495882"/>
    <w:rsid w:val="004B269C"/>
    <w:rsid w:val="004B5CDB"/>
    <w:rsid w:val="004C7500"/>
    <w:rsid w:val="004E05F9"/>
    <w:rsid w:val="004F20A0"/>
    <w:rsid w:val="00527A1C"/>
    <w:rsid w:val="00546E65"/>
    <w:rsid w:val="00565797"/>
    <w:rsid w:val="0057427F"/>
    <w:rsid w:val="00584C5D"/>
    <w:rsid w:val="005A796A"/>
    <w:rsid w:val="005C1FCB"/>
    <w:rsid w:val="005C4375"/>
    <w:rsid w:val="005C4E3C"/>
    <w:rsid w:val="0061688E"/>
    <w:rsid w:val="00631438"/>
    <w:rsid w:val="00633781"/>
    <w:rsid w:val="00690896"/>
    <w:rsid w:val="006D1F32"/>
    <w:rsid w:val="006D2492"/>
    <w:rsid w:val="006E7F48"/>
    <w:rsid w:val="006F52D1"/>
    <w:rsid w:val="00727D6D"/>
    <w:rsid w:val="00740F50"/>
    <w:rsid w:val="00751AC0"/>
    <w:rsid w:val="0078063C"/>
    <w:rsid w:val="00791D7C"/>
    <w:rsid w:val="00796807"/>
    <w:rsid w:val="007A1300"/>
    <w:rsid w:val="007A5353"/>
    <w:rsid w:val="007C20FA"/>
    <w:rsid w:val="007E5BFC"/>
    <w:rsid w:val="007E614F"/>
    <w:rsid w:val="007F4FF9"/>
    <w:rsid w:val="008041B9"/>
    <w:rsid w:val="008052B3"/>
    <w:rsid w:val="00823668"/>
    <w:rsid w:val="00841EA3"/>
    <w:rsid w:val="008473E5"/>
    <w:rsid w:val="00875557"/>
    <w:rsid w:val="008811F5"/>
    <w:rsid w:val="008825A8"/>
    <w:rsid w:val="00893059"/>
    <w:rsid w:val="008D1D93"/>
    <w:rsid w:val="008D3657"/>
    <w:rsid w:val="008E2037"/>
    <w:rsid w:val="008E2439"/>
    <w:rsid w:val="008F3BC9"/>
    <w:rsid w:val="00902408"/>
    <w:rsid w:val="00926213"/>
    <w:rsid w:val="009967E0"/>
    <w:rsid w:val="009C4BFF"/>
    <w:rsid w:val="009D2B54"/>
    <w:rsid w:val="009D325C"/>
    <w:rsid w:val="009DD98E"/>
    <w:rsid w:val="009E5F44"/>
    <w:rsid w:val="00A03410"/>
    <w:rsid w:val="00A14331"/>
    <w:rsid w:val="00A3174E"/>
    <w:rsid w:val="00A3741B"/>
    <w:rsid w:val="00A47DE2"/>
    <w:rsid w:val="00A705D5"/>
    <w:rsid w:val="00AD1D5B"/>
    <w:rsid w:val="00AF6BDC"/>
    <w:rsid w:val="00B116FD"/>
    <w:rsid w:val="00B1553F"/>
    <w:rsid w:val="00B43948"/>
    <w:rsid w:val="00B64DD2"/>
    <w:rsid w:val="00B71187"/>
    <w:rsid w:val="00B72098"/>
    <w:rsid w:val="00B72619"/>
    <w:rsid w:val="00BB4BCD"/>
    <w:rsid w:val="00BE5C71"/>
    <w:rsid w:val="00C12C95"/>
    <w:rsid w:val="00C15CFB"/>
    <w:rsid w:val="00C25E81"/>
    <w:rsid w:val="00C27355"/>
    <w:rsid w:val="00C401B1"/>
    <w:rsid w:val="00C41D2F"/>
    <w:rsid w:val="00C41EF4"/>
    <w:rsid w:val="00C616EF"/>
    <w:rsid w:val="00C70521"/>
    <w:rsid w:val="00C75284"/>
    <w:rsid w:val="00C76627"/>
    <w:rsid w:val="00C83556"/>
    <w:rsid w:val="00D1610E"/>
    <w:rsid w:val="00D236A5"/>
    <w:rsid w:val="00D25F56"/>
    <w:rsid w:val="00D2A215"/>
    <w:rsid w:val="00D4588F"/>
    <w:rsid w:val="00D94030"/>
    <w:rsid w:val="00DA2EFE"/>
    <w:rsid w:val="00DA4AC2"/>
    <w:rsid w:val="00DA68C5"/>
    <w:rsid w:val="00DC72DF"/>
    <w:rsid w:val="00DE261B"/>
    <w:rsid w:val="00DF3CFE"/>
    <w:rsid w:val="00DF410A"/>
    <w:rsid w:val="00E10058"/>
    <w:rsid w:val="00E20669"/>
    <w:rsid w:val="00E2228A"/>
    <w:rsid w:val="00E24264"/>
    <w:rsid w:val="00E35F03"/>
    <w:rsid w:val="00E47181"/>
    <w:rsid w:val="00E4745B"/>
    <w:rsid w:val="00E6255F"/>
    <w:rsid w:val="00E66571"/>
    <w:rsid w:val="00EB35F9"/>
    <w:rsid w:val="00EB54D7"/>
    <w:rsid w:val="00EC2796"/>
    <w:rsid w:val="00ED2CBE"/>
    <w:rsid w:val="00EE39D2"/>
    <w:rsid w:val="00EF2AD2"/>
    <w:rsid w:val="00F17A0D"/>
    <w:rsid w:val="00F34CE6"/>
    <w:rsid w:val="00F35F93"/>
    <w:rsid w:val="00F57D16"/>
    <w:rsid w:val="00F627C8"/>
    <w:rsid w:val="00F72A4A"/>
    <w:rsid w:val="00F76A77"/>
    <w:rsid w:val="00F81EBB"/>
    <w:rsid w:val="00F96048"/>
    <w:rsid w:val="00FA72A5"/>
    <w:rsid w:val="00FB5A4F"/>
    <w:rsid w:val="00FC4EBE"/>
    <w:rsid w:val="00FD49EE"/>
    <w:rsid w:val="011F9FC8"/>
    <w:rsid w:val="01433158"/>
    <w:rsid w:val="0155F34B"/>
    <w:rsid w:val="01714583"/>
    <w:rsid w:val="018F8F84"/>
    <w:rsid w:val="01B9E190"/>
    <w:rsid w:val="01DFF96A"/>
    <w:rsid w:val="026EE0D9"/>
    <w:rsid w:val="028A5055"/>
    <w:rsid w:val="02A3EE37"/>
    <w:rsid w:val="02DA1C96"/>
    <w:rsid w:val="035F8487"/>
    <w:rsid w:val="03966C88"/>
    <w:rsid w:val="03D553B2"/>
    <w:rsid w:val="03E7B3C1"/>
    <w:rsid w:val="043C9503"/>
    <w:rsid w:val="043D2E58"/>
    <w:rsid w:val="04506A39"/>
    <w:rsid w:val="045F8A3D"/>
    <w:rsid w:val="04935337"/>
    <w:rsid w:val="049B012E"/>
    <w:rsid w:val="04C2EFFF"/>
    <w:rsid w:val="0530800E"/>
    <w:rsid w:val="05365155"/>
    <w:rsid w:val="053F5567"/>
    <w:rsid w:val="05A5E087"/>
    <w:rsid w:val="06B0B290"/>
    <w:rsid w:val="07081295"/>
    <w:rsid w:val="070A713D"/>
    <w:rsid w:val="071B5BF7"/>
    <w:rsid w:val="077FB5E0"/>
    <w:rsid w:val="07F8C98F"/>
    <w:rsid w:val="081EEEF7"/>
    <w:rsid w:val="08DD6D69"/>
    <w:rsid w:val="093423AE"/>
    <w:rsid w:val="09E6AAC9"/>
    <w:rsid w:val="09F88AC4"/>
    <w:rsid w:val="0A23B000"/>
    <w:rsid w:val="0AA54135"/>
    <w:rsid w:val="0AFAB897"/>
    <w:rsid w:val="0B176282"/>
    <w:rsid w:val="0B45998C"/>
    <w:rsid w:val="0B90CF34"/>
    <w:rsid w:val="0BE60137"/>
    <w:rsid w:val="0C147A5A"/>
    <w:rsid w:val="0C4B2907"/>
    <w:rsid w:val="0C512141"/>
    <w:rsid w:val="0C8B5DBD"/>
    <w:rsid w:val="0CA5AD08"/>
    <w:rsid w:val="0CC59D4E"/>
    <w:rsid w:val="0CCC9FDB"/>
    <w:rsid w:val="0D1161EC"/>
    <w:rsid w:val="0D6CFD15"/>
    <w:rsid w:val="0D9D52C8"/>
    <w:rsid w:val="0DD8F09C"/>
    <w:rsid w:val="0E00F839"/>
    <w:rsid w:val="0E4C94F8"/>
    <w:rsid w:val="0E73DE1E"/>
    <w:rsid w:val="0E7945B1"/>
    <w:rsid w:val="0ED98ADB"/>
    <w:rsid w:val="0F289B8E"/>
    <w:rsid w:val="0F4C14E2"/>
    <w:rsid w:val="0F6E5A35"/>
    <w:rsid w:val="0F8964B9"/>
    <w:rsid w:val="104312D2"/>
    <w:rsid w:val="10CA098E"/>
    <w:rsid w:val="1104A2DE"/>
    <w:rsid w:val="1125FAFA"/>
    <w:rsid w:val="1186C301"/>
    <w:rsid w:val="1189509B"/>
    <w:rsid w:val="11963BCC"/>
    <w:rsid w:val="11CF2FEE"/>
    <w:rsid w:val="11DAEF98"/>
    <w:rsid w:val="11EF2E7B"/>
    <w:rsid w:val="12253729"/>
    <w:rsid w:val="12302008"/>
    <w:rsid w:val="123F5149"/>
    <w:rsid w:val="1296FD60"/>
    <w:rsid w:val="129E6ADD"/>
    <w:rsid w:val="134BA42B"/>
    <w:rsid w:val="134D499C"/>
    <w:rsid w:val="1358849B"/>
    <w:rsid w:val="13729614"/>
    <w:rsid w:val="139271F8"/>
    <w:rsid w:val="13E4521F"/>
    <w:rsid w:val="1452E159"/>
    <w:rsid w:val="14763DA5"/>
    <w:rsid w:val="14774F6D"/>
    <w:rsid w:val="14A0A589"/>
    <w:rsid w:val="14A50033"/>
    <w:rsid w:val="14A7CC53"/>
    <w:rsid w:val="14C95D2E"/>
    <w:rsid w:val="14CE54F3"/>
    <w:rsid w:val="14E21AF0"/>
    <w:rsid w:val="1591A65F"/>
    <w:rsid w:val="15BBBF07"/>
    <w:rsid w:val="16099D8C"/>
    <w:rsid w:val="1682F6DB"/>
    <w:rsid w:val="1708D813"/>
    <w:rsid w:val="178773F9"/>
    <w:rsid w:val="17A68F27"/>
    <w:rsid w:val="17A76BF7"/>
    <w:rsid w:val="17A92F08"/>
    <w:rsid w:val="17BE20E6"/>
    <w:rsid w:val="182E785B"/>
    <w:rsid w:val="1843B5A5"/>
    <w:rsid w:val="187ECFDB"/>
    <w:rsid w:val="18AF8826"/>
    <w:rsid w:val="191E3ADC"/>
    <w:rsid w:val="19B8641C"/>
    <w:rsid w:val="19E24449"/>
    <w:rsid w:val="1B147C5D"/>
    <w:rsid w:val="1B441E34"/>
    <w:rsid w:val="1B659754"/>
    <w:rsid w:val="1B87B3DE"/>
    <w:rsid w:val="1C0161C9"/>
    <w:rsid w:val="1C7F17AB"/>
    <w:rsid w:val="1C949528"/>
    <w:rsid w:val="1CE441B7"/>
    <w:rsid w:val="1CEDB0FA"/>
    <w:rsid w:val="1CF31938"/>
    <w:rsid w:val="1D292CF9"/>
    <w:rsid w:val="1D370DCA"/>
    <w:rsid w:val="1D3E9E3B"/>
    <w:rsid w:val="1D63933E"/>
    <w:rsid w:val="1D91E854"/>
    <w:rsid w:val="1DA58C7F"/>
    <w:rsid w:val="1DC1A005"/>
    <w:rsid w:val="1DE1935E"/>
    <w:rsid w:val="1E00EFB1"/>
    <w:rsid w:val="1E0A3A44"/>
    <w:rsid w:val="1E4C769B"/>
    <w:rsid w:val="1EA1FB62"/>
    <w:rsid w:val="1EEA4A81"/>
    <w:rsid w:val="1F01229C"/>
    <w:rsid w:val="1F43A75A"/>
    <w:rsid w:val="1FC49837"/>
    <w:rsid w:val="1FFA135A"/>
    <w:rsid w:val="204C45BC"/>
    <w:rsid w:val="20531899"/>
    <w:rsid w:val="2054F9E5"/>
    <w:rsid w:val="205AD9AD"/>
    <w:rsid w:val="2095EA1D"/>
    <w:rsid w:val="209F3EEC"/>
    <w:rsid w:val="20A09816"/>
    <w:rsid w:val="20F5725D"/>
    <w:rsid w:val="2122C5A2"/>
    <w:rsid w:val="219AA3DE"/>
    <w:rsid w:val="22209FF5"/>
    <w:rsid w:val="2224B158"/>
    <w:rsid w:val="22483FBD"/>
    <w:rsid w:val="225B456C"/>
    <w:rsid w:val="226DC609"/>
    <w:rsid w:val="2297C15A"/>
    <w:rsid w:val="229DAC2F"/>
    <w:rsid w:val="22DE4757"/>
    <w:rsid w:val="22E3BA46"/>
    <w:rsid w:val="2337311E"/>
    <w:rsid w:val="23FC411E"/>
    <w:rsid w:val="240886FD"/>
    <w:rsid w:val="241F85D4"/>
    <w:rsid w:val="2461C495"/>
    <w:rsid w:val="2464DB6A"/>
    <w:rsid w:val="24A52576"/>
    <w:rsid w:val="24D814D3"/>
    <w:rsid w:val="24F0EC2E"/>
    <w:rsid w:val="252065B8"/>
    <w:rsid w:val="2565AF6D"/>
    <w:rsid w:val="25EF0014"/>
    <w:rsid w:val="2651F75C"/>
    <w:rsid w:val="266EA03B"/>
    <w:rsid w:val="26739573"/>
    <w:rsid w:val="26BF0682"/>
    <w:rsid w:val="26C76E53"/>
    <w:rsid w:val="26CDA2E4"/>
    <w:rsid w:val="26DE3052"/>
    <w:rsid w:val="270B62A4"/>
    <w:rsid w:val="281D68F6"/>
    <w:rsid w:val="284716D5"/>
    <w:rsid w:val="285E171A"/>
    <w:rsid w:val="2865CEDE"/>
    <w:rsid w:val="288374A3"/>
    <w:rsid w:val="28B1FF30"/>
    <w:rsid w:val="28B2E3E0"/>
    <w:rsid w:val="2945B7BB"/>
    <w:rsid w:val="29FFE075"/>
    <w:rsid w:val="2A37A54D"/>
    <w:rsid w:val="2A51B91E"/>
    <w:rsid w:val="2A810693"/>
    <w:rsid w:val="2A821450"/>
    <w:rsid w:val="2AE219B4"/>
    <w:rsid w:val="2B1D573A"/>
    <w:rsid w:val="2B3A29E9"/>
    <w:rsid w:val="2B42A7DA"/>
    <w:rsid w:val="2B5AA6B2"/>
    <w:rsid w:val="2B8A2922"/>
    <w:rsid w:val="2BE5F4BA"/>
    <w:rsid w:val="2C07D2BE"/>
    <w:rsid w:val="2C89F9B2"/>
    <w:rsid w:val="2CA49D31"/>
    <w:rsid w:val="2CC3793A"/>
    <w:rsid w:val="2CED1321"/>
    <w:rsid w:val="2CF17965"/>
    <w:rsid w:val="2CF25A58"/>
    <w:rsid w:val="2D1ABDA5"/>
    <w:rsid w:val="2D386F5B"/>
    <w:rsid w:val="2DC869D0"/>
    <w:rsid w:val="2E6F9DD1"/>
    <w:rsid w:val="2E7AAE32"/>
    <w:rsid w:val="2E7B1AEE"/>
    <w:rsid w:val="2F35D8C8"/>
    <w:rsid w:val="2F5C801B"/>
    <w:rsid w:val="2F7F9BFD"/>
    <w:rsid w:val="2F814E99"/>
    <w:rsid w:val="30078641"/>
    <w:rsid w:val="3014CBC1"/>
    <w:rsid w:val="3019DDC5"/>
    <w:rsid w:val="301AFDF4"/>
    <w:rsid w:val="3024AD69"/>
    <w:rsid w:val="307A24FD"/>
    <w:rsid w:val="30CADFDF"/>
    <w:rsid w:val="312B176E"/>
    <w:rsid w:val="31CC7880"/>
    <w:rsid w:val="324AC752"/>
    <w:rsid w:val="325C02B8"/>
    <w:rsid w:val="3261CF72"/>
    <w:rsid w:val="3274FEAC"/>
    <w:rsid w:val="3291C425"/>
    <w:rsid w:val="3304E8AE"/>
    <w:rsid w:val="33F885B6"/>
    <w:rsid w:val="33FC282A"/>
    <w:rsid w:val="34141D63"/>
    <w:rsid w:val="344B6B92"/>
    <w:rsid w:val="346EBE53"/>
    <w:rsid w:val="347C3A44"/>
    <w:rsid w:val="3508EEDC"/>
    <w:rsid w:val="3514AE2F"/>
    <w:rsid w:val="351E4616"/>
    <w:rsid w:val="35421D33"/>
    <w:rsid w:val="35BCDA7D"/>
    <w:rsid w:val="35C6C401"/>
    <w:rsid w:val="361678DE"/>
    <w:rsid w:val="370456BB"/>
    <w:rsid w:val="376712BC"/>
    <w:rsid w:val="3821418D"/>
    <w:rsid w:val="38BFD565"/>
    <w:rsid w:val="396A4CA5"/>
    <w:rsid w:val="399CEF26"/>
    <w:rsid w:val="3A062DCD"/>
    <w:rsid w:val="3B0ECD71"/>
    <w:rsid w:val="3B2ACB3A"/>
    <w:rsid w:val="3BD996EC"/>
    <w:rsid w:val="3C21C0C4"/>
    <w:rsid w:val="3D83AD99"/>
    <w:rsid w:val="3D8CEBE3"/>
    <w:rsid w:val="3DAC5A9B"/>
    <w:rsid w:val="3DB893CA"/>
    <w:rsid w:val="3E580112"/>
    <w:rsid w:val="3E66389C"/>
    <w:rsid w:val="3E74F61D"/>
    <w:rsid w:val="3ED3A303"/>
    <w:rsid w:val="3F2302FA"/>
    <w:rsid w:val="3F3A0280"/>
    <w:rsid w:val="3F48DEF2"/>
    <w:rsid w:val="3F970780"/>
    <w:rsid w:val="405A052E"/>
    <w:rsid w:val="407A21CF"/>
    <w:rsid w:val="4094403C"/>
    <w:rsid w:val="4095915A"/>
    <w:rsid w:val="40B952BA"/>
    <w:rsid w:val="41AAC686"/>
    <w:rsid w:val="41BADCE5"/>
    <w:rsid w:val="41C6D863"/>
    <w:rsid w:val="422918D5"/>
    <w:rsid w:val="42CFF716"/>
    <w:rsid w:val="4318B453"/>
    <w:rsid w:val="434A742A"/>
    <w:rsid w:val="4353A66B"/>
    <w:rsid w:val="43BA0321"/>
    <w:rsid w:val="45538623"/>
    <w:rsid w:val="4578B28B"/>
    <w:rsid w:val="461371D0"/>
    <w:rsid w:val="46A4C410"/>
    <w:rsid w:val="46F38824"/>
    <w:rsid w:val="4782AABB"/>
    <w:rsid w:val="48D4B815"/>
    <w:rsid w:val="48FF6766"/>
    <w:rsid w:val="493FB6E5"/>
    <w:rsid w:val="4945D976"/>
    <w:rsid w:val="49D57948"/>
    <w:rsid w:val="4A186F48"/>
    <w:rsid w:val="4A3DCF22"/>
    <w:rsid w:val="4A8DBE82"/>
    <w:rsid w:val="4BF2CA83"/>
    <w:rsid w:val="4C23AAE5"/>
    <w:rsid w:val="4C61E82A"/>
    <w:rsid w:val="4C642A89"/>
    <w:rsid w:val="4C86B28D"/>
    <w:rsid w:val="4CD562C9"/>
    <w:rsid w:val="4CDE2620"/>
    <w:rsid w:val="4CFB7A77"/>
    <w:rsid w:val="4CFF5678"/>
    <w:rsid w:val="4D2DF05E"/>
    <w:rsid w:val="4D82860F"/>
    <w:rsid w:val="4DB3F983"/>
    <w:rsid w:val="4E4A4F6F"/>
    <w:rsid w:val="4E74987E"/>
    <w:rsid w:val="4EA50D15"/>
    <w:rsid w:val="4EFC39AC"/>
    <w:rsid w:val="4F65E7DA"/>
    <w:rsid w:val="4F726FD2"/>
    <w:rsid w:val="503F3402"/>
    <w:rsid w:val="50B0E4CB"/>
    <w:rsid w:val="50F88B3D"/>
    <w:rsid w:val="5119CC43"/>
    <w:rsid w:val="517C0A7F"/>
    <w:rsid w:val="523D88C9"/>
    <w:rsid w:val="5247F224"/>
    <w:rsid w:val="52701926"/>
    <w:rsid w:val="531649CB"/>
    <w:rsid w:val="534D3825"/>
    <w:rsid w:val="5390B430"/>
    <w:rsid w:val="539624F7"/>
    <w:rsid w:val="53A774A2"/>
    <w:rsid w:val="53CB633F"/>
    <w:rsid w:val="5468AA27"/>
    <w:rsid w:val="548AAD74"/>
    <w:rsid w:val="5537A1F2"/>
    <w:rsid w:val="5541DD13"/>
    <w:rsid w:val="55694B8F"/>
    <w:rsid w:val="55BEA9B4"/>
    <w:rsid w:val="55C194A6"/>
    <w:rsid w:val="55D17166"/>
    <w:rsid w:val="55F2570B"/>
    <w:rsid w:val="56B728F4"/>
    <w:rsid w:val="56D0E414"/>
    <w:rsid w:val="575B79AE"/>
    <w:rsid w:val="5784960C"/>
    <w:rsid w:val="58073A18"/>
    <w:rsid w:val="585F8C85"/>
    <w:rsid w:val="587E5AA9"/>
    <w:rsid w:val="58ABF848"/>
    <w:rsid w:val="59840C0B"/>
    <w:rsid w:val="599A067E"/>
    <w:rsid w:val="59D30674"/>
    <w:rsid w:val="5A374A5C"/>
    <w:rsid w:val="5A77C0BF"/>
    <w:rsid w:val="5A89B9DA"/>
    <w:rsid w:val="5A8EB9F0"/>
    <w:rsid w:val="5AA7D9BF"/>
    <w:rsid w:val="5AE3FBCA"/>
    <w:rsid w:val="5B1814D8"/>
    <w:rsid w:val="5B1DC7BE"/>
    <w:rsid w:val="5B6AA6C5"/>
    <w:rsid w:val="5B7D8E07"/>
    <w:rsid w:val="5B97B07E"/>
    <w:rsid w:val="5BB0576E"/>
    <w:rsid w:val="5BB6BFDC"/>
    <w:rsid w:val="5BF9417F"/>
    <w:rsid w:val="5C188030"/>
    <w:rsid w:val="5C1E2E1B"/>
    <w:rsid w:val="5C3DB26C"/>
    <w:rsid w:val="5DDB2F34"/>
    <w:rsid w:val="5DDCFB4B"/>
    <w:rsid w:val="5EB51C82"/>
    <w:rsid w:val="5EBA1532"/>
    <w:rsid w:val="5EE0DFAB"/>
    <w:rsid w:val="5F025E1F"/>
    <w:rsid w:val="5F5085B0"/>
    <w:rsid w:val="5F5AFA7E"/>
    <w:rsid w:val="5FA5631D"/>
    <w:rsid w:val="5FC97F3C"/>
    <w:rsid w:val="6040E565"/>
    <w:rsid w:val="604E31BA"/>
    <w:rsid w:val="605D5324"/>
    <w:rsid w:val="605E05A7"/>
    <w:rsid w:val="60A68A15"/>
    <w:rsid w:val="60D07CEF"/>
    <w:rsid w:val="60FE4F0A"/>
    <w:rsid w:val="6159989B"/>
    <w:rsid w:val="61DAA733"/>
    <w:rsid w:val="61E9DBF6"/>
    <w:rsid w:val="63345151"/>
    <w:rsid w:val="63444795"/>
    <w:rsid w:val="637D6EC4"/>
    <w:rsid w:val="63A66699"/>
    <w:rsid w:val="63B84E90"/>
    <w:rsid w:val="63CAFA74"/>
    <w:rsid w:val="63E1AB9B"/>
    <w:rsid w:val="6443A8A7"/>
    <w:rsid w:val="64CDF7C1"/>
    <w:rsid w:val="64F8CFA6"/>
    <w:rsid w:val="651BEA0D"/>
    <w:rsid w:val="6579D52F"/>
    <w:rsid w:val="658CB126"/>
    <w:rsid w:val="65A26B60"/>
    <w:rsid w:val="65BAAD31"/>
    <w:rsid w:val="65BB3A16"/>
    <w:rsid w:val="66050ED7"/>
    <w:rsid w:val="66C1BE15"/>
    <w:rsid w:val="66F9BC22"/>
    <w:rsid w:val="670CC32B"/>
    <w:rsid w:val="673FB5B7"/>
    <w:rsid w:val="68103092"/>
    <w:rsid w:val="689DFB57"/>
    <w:rsid w:val="68B7B1C2"/>
    <w:rsid w:val="68C90082"/>
    <w:rsid w:val="68E88069"/>
    <w:rsid w:val="69F3BE07"/>
    <w:rsid w:val="6A336CE1"/>
    <w:rsid w:val="6A379806"/>
    <w:rsid w:val="6A55A8ED"/>
    <w:rsid w:val="6B06189D"/>
    <w:rsid w:val="6B3129C8"/>
    <w:rsid w:val="6B336A3C"/>
    <w:rsid w:val="6B471638"/>
    <w:rsid w:val="6B52EFCE"/>
    <w:rsid w:val="6B78506D"/>
    <w:rsid w:val="6BD4E9F4"/>
    <w:rsid w:val="6C160A23"/>
    <w:rsid w:val="6C190944"/>
    <w:rsid w:val="6C21A050"/>
    <w:rsid w:val="6C3B8308"/>
    <w:rsid w:val="6C3DDE74"/>
    <w:rsid w:val="6C5ED18D"/>
    <w:rsid w:val="6CE5B0F2"/>
    <w:rsid w:val="6CE8AB3B"/>
    <w:rsid w:val="6CE8C501"/>
    <w:rsid w:val="6D11FF89"/>
    <w:rsid w:val="6D62F1B5"/>
    <w:rsid w:val="6D9959A6"/>
    <w:rsid w:val="6DE2E286"/>
    <w:rsid w:val="6E099C76"/>
    <w:rsid w:val="6EB944C9"/>
    <w:rsid w:val="6ECF6D8F"/>
    <w:rsid w:val="6ED6E162"/>
    <w:rsid w:val="6EE47599"/>
    <w:rsid w:val="6EE9F195"/>
    <w:rsid w:val="6F1E39A6"/>
    <w:rsid w:val="6FCE8115"/>
    <w:rsid w:val="6FDB548E"/>
    <w:rsid w:val="7095D6B9"/>
    <w:rsid w:val="709DF7E6"/>
    <w:rsid w:val="70F5FB65"/>
    <w:rsid w:val="713A0632"/>
    <w:rsid w:val="715AE2A8"/>
    <w:rsid w:val="71861384"/>
    <w:rsid w:val="71C78990"/>
    <w:rsid w:val="71E472CA"/>
    <w:rsid w:val="71EDDF27"/>
    <w:rsid w:val="71F92A7F"/>
    <w:rsid w:val="72183D74"/>
    <w:rsid w:val="725E458F"/>
    <w:rsid w:val="72FC182A"/>
    <w:rsid w:val="73491A6B"/>
    <w:rsid w:val="735A0A69"/>
    <w:rsid w:val="738F02DA"/>
    <w:rsid w:val="73BC47AF"/>
    <w:rsid w:val="73C2541C"/>
    <w:rsid w:val="73CE28CA"/>
    <w:rsid w:val="73D49420"/>
    <w:rsid w:val="742CD8B1"/>
    <w:rsid w:val="744BCFAB"/>
    <w:rsid w:val="7453762E"/>
    <w:rsid w:val="74751E01"/>
    <w:rsid w:val="74C0A0F6"/>
    <w:rsid w:val="7514D552"/>
    <w:rsid w:val="751A6613"/>
    <w:rsid w:val="758649A0"/>
    <w:rsid w:val="75E1DE02"/>
    <w:rsid w:val="763E9E2A"/>
    <w:rsid w:val="7646DB09"/>
    <w:rsid w:val="76C613B3"/>
    <w:rsid w:val="7716C9B5"/>
    <w:rsid w:val="774CC55C"/>
    <w:rsid w:val="7798B792"/>
    <w:rsid w:val="779B469F"/>
    <w:rsid w:val="77A98FB3"/>
    <w:rsid w:val="77C09F91"/>
    <w:rsid w:val="781D391D"/>
    <w:rsid w:val="79188FD1"/>
    <w:rsid w:val="792968CA"/>
    <w:rsid w:val="79B0275F"/>
    <w:rsid w:val="79EB04FB"/>
    <w:rsid w:val="7A49F05C"/>
    <w:rsid w:val="7A52CB38"/>
    <w:rsid w:val="7B0EB326"/>
    <w:rsid w:val="7B9AB87B"/>
    <w:rsid w:val="7BA03805"/>
    <w:rsid w:val="7BB3665B"/>
    <w:rsid w:val="7C60A93E"/>
    <w:rsid w:val="7D6EB6E5"/>
    <w:rsid w:val="7D8AB184"/>
    <w:rsid w:val="7E63D230"/>
    <w:rsid w:val="7F1538AA"/>
    <w:rsid w:val="7F19AD93"/>
    <w:rsid w:val="7F218A24"/>
    <w:rsid w:val="7F6BDD98"/>
    <w:rsid w:val="7F7512D3"/>
    <w:rsid w:val="7FA70648"/>
    <w:rsid w:val="7FD5F019"/>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AC72F"/>
  <w15:chartTrackingRefBased/>
  <w15:docId w15:val="{21247EF4-CB74-404B-8DF9-C6FACC1CA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l-SI"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rsid w:val="043D2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uiPriority w:val="9"/>
    <w:unhideWhenUsed/>
    <w:qFormat/>
    <w:rsid w:val="043D2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uiPriority w:val="9"/>
    <w:unhideWhenUsed/>
    <w:qFormat/>
    <w:rsid w:val="1FC49837"/>
    <w:pPr>
      <w:keepNext/>
      <w:keepLines/>
      <w:spacing w:before="160" w:after="80"/>
      <w:outlineLvl w:val="2"/>
    </w:pPr>
    <w:rPr>
      <w:rFonts w:eastAsiaTheme="majorEastAsia" w:cstheme="majorBidi"/>
      <w:color w:val="0F4761" w:themeColor="accent1" w:themeShade="BF"/>
      <w:sz w:val="28"/>
      <w:szCs w:val="2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Pr>
      <w:rFonts w:asciiTheme="majorHAnsi" w:eastAsiaTheme="majorEastAsia" w:hAnsiTheme="majorHAnsi" w:cstheme="majorBidi"/>
      <w:color w:val="0F4761" w:themeColor="accent1" w:themeShade="BF"/>
      <w:sz w:val="40"/>
      <w:szCs w:val="40"/>
    </w:rPr>
  </w:style>
  <w:style w:type="character" w:styleId="Hiperpovezava">
    <w:name w:val="Hyperlink"/>
    <w:basedOn w:val="Privzetapisavaodstavka"/>
    <w:uiPriority w:val="99"/>
    <w:unhideWhenUsed/>
    <w:rPr>
      <w:color w:val="467886" w:themeColor="hyperlink"/>
      <w:u w:val="single"/>
    </w:rPr>
  </w:style>
  <w:style w:type="paragraph" w:styleId="Odstavekseznama">
    <w:name w:val="List Paragraph"/>
    <w:uiPriority w:val="34"/>
    <w:qFormat/>
    <w:rsid w:val="043D2E58"/>
    <w:pPr>
      <w:ind w:left="720"/>
      <w:contextualSpacing/>
    </w:pPr>
  </w:style>
  <w:style w:type="character" w:styleId="Nerazreenaomemba">
    <w:name w:val="Unresolved Mention"/>
    <w:basedOn w:val="Privzetapisavaodstavka"/>
    <w:uiPriority w:val="99"/>
    <w:semiHidden/>
    <w:unhideWhenUsed/>
    <w:rsid w:val="00791D7C"/>
    <w:rPr>
      <w:color w:val="605E5C"/>
      <w:shd w:val="clear" w:color="auto" w:fill="E1DFDD"/>
    </w:rPr>
  </w:style>
  <w:style w:type="character" w:styleId="SledenaHiperpovezava">
    <w:name w:val="FollowedHyperlink"/>
    <w:basedOn w:val="Privzetapisavaodstavka"/>
    <w:uiPriority w:val="99"/>
    <w:semiHidden/>
    <w:unhideWhenUsed/>
    <w:rsid w:val="003C279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psyg.2023.1204166" TargetMode="External"/><Relationship Id="rId18" Type="http://schemas.openxmlformats.org/officeDocument/2006/relationships/hyperlink" Target="https://doi.org/10.1016/j.hrmr.2009.04.001" TargetMode="External"/><Relationship Id="rId26" Type="http://schemas.openxmlformats.org/officeDocument/2006/relationships/hyperlink" Target="https://doi.org/10.1177/0018720819845988" TargetMode="External"/><Relationship Id="rId39" Type="http://schemas.openxmlformats.org/officeDocument/2006/relationships/hyperlink" Target="https://doi.org/10.1016/S2212-5671(14)00185-3" TargetMode="External"/><Relationship Id="rId21" Type="http://schemas.openxmlformats.org/officeDocument/2006/relationships/hyperlink" Target="https://doi.org/10.1016/j.jvb.2013.03.011" TargetMode="External"/><Relationship Id="rId34" Type="http://schemas.openxmlformats.org/officeDocument/2006/relationships/hyperlink" Target="https://doi.org/10.1016/j.ijpam.2015.10.002" TargetMode="External"/><Relationship Id="rId42" Type="http://schemas.openxmlformats.org/officeDocument/2006/relationships/hyperlink" Target="https://doi.org/10.3390/joitmc7040233" TargetMode="External"/><Relationship Id="rId47" Type="http://schemas.openxmlformats.org/officeDocument/2006/relationships/fontTable" Target="fontTable.xml"/><Relationship Id="rId7" Type="http://schemas.openxmlformats.org/officeDocument/2006/relationships/hyperlink" Target="https://doi.org/10.36941/mjss-2022-0013" TargetMode="External"/><Relationship Id="rId2" Type="http://schemas.openxmlformats.org/officeDocument/2006/relationships/styles" Target="styles.xml"/><Relationship Id="rId16" Type="http://schemas.openxmlformats.org/officeDocument/2006/relationships/hyperlink" Target="https://doi.org/10.3389/feduc.2023.1258273" TargetMode="External"/><Relationship Id="rId29" Type="http://schemas.openxmlformats.org/officeDocument/2006/relationships/hyperlink" Target="https://doi.org/10.1016/j.hrmr.2006.03.001" TargetMode="External"/><Relationship Id="rId1" Type="http://schemas.openxmlformats.org/officeDocument/2006/relationships/numbering" Target="numbering.xml"/><Relationship Id="rId6" Type="http://schemas.openxmlformats.org/officeDocument/2006/relationships/hyperlink" Target="https://doi.org/10.32890/jbma2025.15.1.1" TargetMode="External"/><Relationship Id="rId11" Type="http://schemas.openxmlformats.org/officeDocument/2006/relationships/hyperlink" Target="https://doi.org/10.1177/0149206309352880" TargetMode="External"/><Relationship Id="rId24" Type="http://schemas.openxmlformats.org/officeDocument/2006/relationships/hyperlink" Target="https://doi.org/10.1371/journal.pone.0159137" TargetMode="External"/><Relationship Id="rId32" Type="http://schemas.openxmlformats.org/officeDocument/2006/relationships/hyperlink" Target="https://doi.org/10.17770/sie2024vol2.7916" TargetMode="External"/><Relationship Id="rId37" Type="http://schemas.openxmlformats.org/officeDocument/2006/relationships/hyperlink" Target="https://doi.org/10.31841/KJEMS.2023.149" TargetMode="External"/><Relationship Id="rId40" Type="http://schemas.openxmlformats.org/officeDocument/2006/relationships/hyperlink" Target="https://doi.org/10.1007/BF03396810" TargetMode="External"/><Relationship Id="rId45" Type="http://schemas.openxmlformats.org/officeDocument/2006/relationships/hyperlink" Target="https://doi.org/10.1002/hrdq.7" TargetMode="External"/><Relationship Id="rId5" Type="http://schemas.openxmlformats.org/officeDocument/2006/relationships/hyperlink" Target="https://doi.org/10.37394/23207.2023.20.142" TargetMode="External"/><Relationship Id="rId15" Type="http://schemas.openxmlformats.org/officeDocument/2006/relationships/hyperlink" Target="https://doi.org/10.1016/j.jvb.2013.03.001" TargetMode="External"/><Relationship Id="rId23" Type="http://schemas.openxmlformats.org/officeDocument/2006/relationships/hyperlink" Target="https://www.researchgate.net/publication/378875287_Talent_Management_in_the_21st_Century_A_Comprehensive_Review_and_Prospects_for_Innovation" TargetMode="External"/><Relationship Id="rId28" Type="http://schemas.openxmlformats.org/officeDocument/2006/relationships/hyperlink" Target="https://doi.org/10.1080/09585192.2019.1579748" TargetMode="External"/><Relationship Id="rId36" Type="http://schemas.openxmlformats.org/officeDocument/2006/relationships/hyperlink" Target="https://doi.org/10.3389/fpsyg.2021.633530" TargetMode="External"/><Relationship Id="rId10" Type="http://schemas.openxmlformats.org/officeDocument/2006/relationships/hyperlink" Target="https://doi.org/10.1287/mnsc.2021.03746" TargetMode="External"/><Relationship Id="rId19" Type="http://schemas.openxmlformats.org/officeDocument/2006/relationships/hyperlink" Target="https://doi.org/10.1108/00483481211212977" TargetMode="External"/><Relationship Id="rId31" Type="http://schemas.openxmlformats.org/officeDocument/2006/relationships/hyperlink" Target="https://doi.org/10.1016/j.jwb.2009.09.020" TargetMode="External"/><Relationship Id="rId44" Type="http://schemas.openxmlformats.org/officeDocument/2006/relationships/hyperlink" Target="https://doi.org/10.1080/17439760.2013.837499" TargetMode="External"/><Relationship Id="rId4" Type="http://schemas.openxmlformats.org/officeDocument/2006/relationships/webSettings" Target="webSettings.xml"/><Relationship Id="rId9" Type="http://schemas.openxmlformats.org/officeDocument/2006/relationships/hyperlink" Target="https://doi.org/10.1504/EJIM.2011.042177" TargetMode="External"/><Relationship Id="rId14" Type="http://schemas.openxmlformats.org/officeDocument/2006/relationships/hyperlink" Target="https://doi.org/10.1002/hrdq.21566" TargetMode="External"/><Relationship Id="rId22" Type="http://schemas.openxmlformats.org/officeDocument/2006/relationships/hyperlink" Target="https://doi.org/10.1108/JWL-09-2015-0068" TargetMode="External"/><Relationship Id="rId27" Type="http://schemas.openxmlformats.org/officeDocument/2006/relationships/hyperlink" Target="https://doi.org/10.1177/0894845320957737" TargetMode="External"/><Relationship Id="rId30" Type="http://schemas.openxmlformats.org/officeDocument/2006/relationships/hyperlink" Target="https://doi.org/10.1016/0030-5073(68)90004-4" TargetMode="External"/><Relationship Id="rId35" Type="http://schemas.openxmlformats.org/officeDocument/2006/relationships/hyperlink" Target="https://doi.org/10.1002/hrm.3930340107" TargetMode="External"/><Relationship Id="rId43" Type="http://schemas.openxmlformats.org/officeDocument/2006/relationships/hyperlink" Target="https://doi.org/10.1111/j.1744-6570.2005.514_1.x" TargetMode="External"/><Relationship Id="rId48" Type="http://schemas.openxmlformats.org/officeDocument/2006/relationships/theme" Target="theme/theme1.xml"/><Relationship Id="rId8" Type="http://schemas.openxmlformats.org/officeDocument/2006/relationships/hyperlink" Target="https://doi.org/10.1287/orsc.2020.1362" TargetMode="External"/><Relationship Id="rId3" Type="http://schemas.openxmlformats.org/officeDocument/2006/relationships/settings" Target="settings.xml"/><Relationship Id="rId12" Type="http://schemas.openxmlformats.org/officeDocument/2006/relationships/hyperlink" Target="https://doi.org/10.3389/fpsyg.2018.01750" TargetMode="External"/><Relationship Id="rId17" Type="http://schemas.openxmlformats.org/officeDocument/2006/relationships/hyperlink" Target="https://www.talent-quarterly.com/think-outside-the-9-box/" TargetMode="External"/><Relationship Id="rId25" Type="http://schemas.openxmlformats.org/officeDocument/2006/relationships/hyperlink" Target="https://doi.org/10.1177/1523422316645887" TargetMode="External"/><Relationship Id="rId33" Type="http://schemas.openxmlformats.org/officeDocument/2006/relationships/hyperlink" Target="https://doi.org/10.3389/fsoc.2025.1524922" TargetMode="External"/><Relationship Id="rId38" Type="http://schemas.openxmlformats.org/officeDocument/2006/relationships/hyperlink" Target="https://www.gbmrjournal.com/pdf/v14n3s/V14N3s-57.pdf" TargetMode="External"/><Relationship Id="rId46" Type="http://schemas.openxmlformats.org/officeDocument/2006/relationships/hyperlink" Target="https://doi.org/10.1108/01437731111146596" TargetMode="External"/><Relationship Id="rId20" Type="http://schemas.openxmlformats.org/officeDocument/2006/relationships/hyperlink" Target="https://doi.org/10.1016/j.hrmr.2013.05.002" TargetMode="External"/><Relationship Id="rId41" Type="http://schemas.openxmlformats.org/officeDocument/2006/relationships/hyperlink" Target="https://www.shrm.org/content/dam/en/shrm/topics-tools/news/hr-magazine/assessment_metho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12</Pages>
  <Words>5535</Words>
  <Characters>31555</Characters>
  <Application>Microsoft Office Word</Application>
  <DocSecurity>0</DocSecurity>
  <Lines>262</Lines>
  <Paragraphs>74</Paragraphs>
  <ScaleCrop>false</ScaleCrop>
  <Company/>
  <LinksUpToDate>false</LinksUpToDate>
  <CharactersWithSpaces>37016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Papič Lana</dc:creator>
  <cp:keywords/>
  <dc:description/>
  <cp:lastModifiedBy>Papič, Lana</cp:lastModifiedBy>
  <cp:revision>63</cp:revision>
  <dcterms:created xsi:type="dcterms:W3CDTF">2026-08-27T11:40:00Z</dcterms:created>
  <dcterms:modified xsi:type="dcterms:W3CDTF">2026-08-29T15:37:00Z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fc6f63-046c-41f3-ba25-1437516571c5_Enabled">
    <vt:lpwstr>true</vt:lpwstr>
  </property>
  <property fmtid="{D5CDD505-2E9C-101B-9397-08002B2CF9AE}" pid="3" name="MSIP_Label_b9fc6f63-046c-41f3-ba25-1437516571c5_SetDate">
    <vt:lpwstr>2026-08-14T08:43:50Z</vt:lpwstr>
  </property>
  <property fmtid="{D5CDD505-2E9C-101B-9397-08002B2CF9AE}" pid="4" name="MSIP_Label_b9fc6f63-046c-41f3-ba25-1437516571c5_Method">
    <vt:lpwstr>Standard</vt:lpwstr>
  </property>
  <property fmtid="{D5CDD505-2E9C-101B-9397-08002B2CF9AE}" pid="5" name="MSIP_Label_b9fc6f63-046c-41f3-ba25-1437516571c5_Name">
    <vt:lpwstr>NIZKA ZAUPNOST</vt:lpwstr>
  </property>
  <property fmtid="{D5CDD505-2E9C-101B-9397-08002B2CF9AE}" pid="6" name="MSIP_Label_b9fc6f63-046c-41f3-ba25-1437516571c5_SiteId">
    <vt:lpwstr>6b50702c-caff-40f2-86bd-da9c41fd299b</vt:lpwstr>
  </property>
  <property fmtid="{D5CDD505-2E9C-101B-9397-08002B2CF9AE}" pid="7" name="MSIP_Label_b9fc6f63-046c-41f3-ba25-1437516571c5_ActionId">
    <vt:lpwstr>bad08247-cfa9-4da2-a5f7-725e5d6ee852</vt:lpwstr>
  </property>
  <property fmtid="{D5CDD505-2E9C-101B-9397-08002B2CF9AE}" pid="8" name="MSIP_Label_b9fc6f63-046c-41f3-ba25-1437516571c5_ContentBits">
    <vt:lpwstr>0</vt:lpwstr>
  </property>
  <property fmtid="{D5CDD505-2E9C-101B-9397-08002B2CF9AE}" pid="9" name="MSIP_Label_b9fc6f63-046c-41f3-ba25-1437516571c5_Tag">
    <vt:lpwstr>10, 3, 0, 2</vt:lpwstr>
  </property>
</Properties>
</file>